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B46" w:rsidRDefault="008C2B46">
      <w:pPr>
        <w:spacing w:line="360" w:lineRule="auto"/>
        <w:jc w:val="both"/>
        <w:rPr>
          <w:rFonts w:ascii="Arial" w:hAnsi="Arial" w:cs="Arial"/>
          <w:sz w:val="22"/>
        </w:rPr>
      </w:pPr>
      <w:bookmarkStart w:id="0" w:name="_GoBack"/>
      <w:bookmarkEnd w:id="0"/>
      <w:proofErr w:type="spellStart"/>
      <w:r>
        <w:rPr>
          <w:rFonts w:ascii="Arial" w:hAnsi="Arial" w:cs="Arial"/>
          <w:sz w:val="22"/>
        </w:rPr>
        <w:t>Michel</w:t>
      </w:r>
      <w:proofErr w:type="spellEnd"/>
      <w:r>
        <w:rPr>
          <w:rFonts w:ascii="Arial" w:hAnsi="Arial" w:cs="Arial"/>
          <w:sz w:val="22"/>
        </w:rPr>
        <w:t xml:space="preserve"> Foucault: Nadzorovanje in kaznovanje - Nastanek zapora</w:t>
      </w:r>
    </w:p>
    <w:p w:rsidR="008C2B46" w:rsidRDefault="008C2B46">
      <w:pPr>
        <w:spacing w:line="360" w:lineRule="auto"/>
        <w:jc w:val="both"/>
        <w:rPr>
          <w:rFonts w:ascii="Arial" w:hAnsi="Arial" w:cs="Arial"/>
          <w:b/>
          <w:bCs/>
          <w:sz w:val="22"/>
        </w:rPr>
      </w:pPr>
      <w:r>
        <w:rPr>
          <w:rFonts w:ascii="Arial" w:hAnsi="Arial" w:cs="Arial"/>
          <w:sz w:val="22"/>
        </w:rPr>
        <w:t xml:space="preserve">Drugo poglavje: </w:t>
      </w:r>
      <w:proofErr w:type="spellStart"/>
      <w:r>
        <w:rPr>
          <w:rFonts w:ascii="Arial" w:hAnsi="Arial" w:cs="Arial"/>
          <w:b/>
          <w:bCs/>
          <w:color w:val="000000"/>
          <w:sz w:val="22"/>
        </w:rPr>
        <w:t>Ilegalizmi</w:t>
      </w:r>
      <w:proofErr w:type="spellEnd"/>
      <w:r>
        <w:rPr>
          <w:rFonts w:ascii="Arial" w:hAnsi="Arial" w:cs="Arial"/>
          <w:b/>
          <w:bCs/>
          <w:color w:val="000000"/>
          <w:sz w:val="22"/>
        </w:rPr>
        <w:t xml:space="preserve"> in prestopništvo</w:t>
      </w:r>
    </w:p>
    <w:p w:rsidR="008C2B46" w:rsidRDefault="008C2B46">
      <w:pPr>
        <w:spacing w:line="360" w:lineRule="auto"/>
        <w:jc w:val="both"/>
        <w:rPr>
          <w:rFonts w:ascii="Arial" w:hAnsi="Arial" w:cs="Arial"/>
          <w:b/>
          <w:bCs/>
          <w:sz w:val="22"/>
        </w:rPr>
      </w:pPr>
    </w:p>
    <w:p w:rsidR="008C2B46" w:rsidRDefault="008C2B46">
      <w:pPr>
        <w:pStyle w:val="BodyText"/>
        <w:jc w:val="both"/>
      </w:pPr>
      <w:r>
        <w:t xml:space="preserve">V tem poglavju Foucault diskutira prehod iz kazenske verige do celičnega voza kot simbol in simptom prehoda od javnega uprizarjanja moči do zaporne kazni. Kazenska veriga je ob prelomu stoletja simbolizirala tako pripor kot tudi obliko javnega mučenja. Foucault slikovito prikaže nevarnost procesije kazenske verige, v kateri sodelujejo tudi množice gledalcev, ki na eni strani obsojajo in psujejo, na drugi pa spodbujajo in kažejo znake spoštovanja in </w:t>
      </w:r>
      <w:proofErr w:type="spellStart"/>
      <w:r>
        <w:t>pajdaštva</w:t>
      </w:r>
      <w:proofErr w:type="spellEnd"/>
      <w:r>
        <w:t xml:space="preserve"> do obsojencev. Kazenska veriga iz začetka 19.stoletja je prinesla neke vrste praznik v mesta, skozi katera je šla; pomenila je rajanje in ples. Kljub mučilni funkciji verige pa pri obsojencih ni bilo zaznati znamenj kesanja, temveč nasprotno, v njih je vzbujala noro radost, ki je zanikala kazen. Kazensko verigo so prav zaradi omenjenega kmalu umaknili in jo leta 1837 nadomestili s celičnim vozom, t.i. gibljivim ekvivalentom panoptika, ki je prevoz kaznjencev preobrazil v nekaj skrivnostnega in turobnega, kar pa je v gledalcih zagotovo pustilo </w:t>
      </w:r>
      <w:proofErr w:type="spellStart"/>
      <w:r>
        <w:t>zdravilnejši</w:t>
      </w:r>
      <w:proofErr w:type="spellEnd"/>
      <w:r>
        <w:t xml:space="preserve"> in trajnejši vtis. V celičnem vozu so bili vsi priporniki izolirani v celice, povezane s hodnikom in skrite očem javnosti. Celice so preprečevale kakršnokoli interakcijo med priporniki in tako delovale kot korekcijski aparat – premišljena tehnika za spreminjanje </w:t>
      </w:r>
      <w:proofErr w:type="spellStart"/>
      <w:r>
        <w:t>individuov</w:t>
      </w:r>
      <w:proofErr w:type="spellEnd"/>
      <w:r>
        <w:t xml:space="preserve">. </w:t>
      </w:r>
    </w:p>
    <w:p w:rsidR="008C2B46" w:rsidRDefault="008C2B46">
      <w:pPr>
        <w:pStyle w:val="BodyText"/>
        <w:jc w:val="both"/>
      </w:pPr>
      <w:r>
        <w:t>Prav tako kot je načrt za korektivno tehniko spremljal načelo kazenskega zapiranja, se je tudi kritika zapora pojavila že zelo zgodaj in zreducirana na šest temeljih točk ostala skoraj nespremenjena vse do danes:</w:t>
      </w:r>
    </w:p>
    <w:p w:rsidR="008C2B46" w:rsidRDefault="008C2B46">
      <w:pPr>
        <w:pStyle w:val="BodyText"/>
        <w:tabs>
          <w:tab w:val="num" w:pos="720"/>
        </w:tabs>
        <w:ind w:left="360"/>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5" o:title="BD10263_"/>
          </v:shape>
        </w:pict>
      </w:r>
      <w:r>
        <w:tab/>
        <w:t>»zapori ne zmanjšujejo obsega kriminalnosti«; število zločinov se ne zmanjšuje, temveč prej povečuje</w:t>
      </w:r>
    </w:p>
    <w:p w:rsidR="008C2B46" w:rsidRDefault="008C2B46">
      <w:pPr>
        <w:pStyle w:val="BodyText"/>
        <w:tabs>
          <w:tab w:val="num" w:pos="720"/>
        </w:tabs>
        <w:ind w:left="360"/>
        <w:jc w:val="both"/>
      </w:pPr>
      <w:r>
        <w:pict>
          <v:shape id="_x0000_i1026" type="#_x0000_t75" style="width:11.25pt;height:11.25pt" o:bullet="t">
            <v:imagedata r:id="rId5" o:title="BD10263_"/>
          </v:shape>
        </w:pict>
      </w:r>
      <w:r>
        <w:tab/>
        <w:t xml:space="preserve">»zapiranje povzroča povratništvo; ko pride človek iz zapora, ima več možnosti, da se vanj vrne, kakor poprej« - zapor </w:t>
      </w:r>
      <w:proofErr w:type="spellStart"/>
      <w:r>
        <w:t>producira</w:t>
      </w:r>
      <w:proofErr w:type="spellEnd"/>
      <w:r>
        <w:t xml:space="preserve"> prestopnike in ne spremenjenih </w:t>
      </w:r>
      <w:proofErr w:type="spellStart"/>
      <w:r>
        <w:t>individuov</w:t>
      </w:r>
      <w:proofErr w:type="spellEnd"/>
    </w:p>
    <w:p w:rsidR="008C2B46" w:rsidRDefault="008C2B46">
      <w:pPr>
        <w:pStyle w:val="BodyText"/>
        <w:tabs>
          <w:tab w:val="num" w:pos="720"/>
        </w:tabs>
        <w:ind w:left="360"/>
        <w:jc w:val="both"/>
      </w:pPr>
      <w:r>
        <w:pict>
          <v:shape id="_x0000_i1027" type="#_x0000_t75" style="width:11.25pt;height:11.25pt" o:bullet="t">
            <v:imagedata r:id="rId5" o:title="BD10263_"/>
          </v:shape>
        </w:pict>
      </w:r>
      <w:r>
        <w:tab/>
        <w:t>»zapor neogibno izdeluje prestopnike prav z življenjskimi pogoji, v katere so potisnjeni jetniki« – Foucault tu navaja nekoristno delo, nasilno prisilo in številne zlorabe moči</w:t>
      </w:r>
    </w:p>
    <w:p w:rsidR="008C2B46" w:rsidRDefault="008C2B46">
      <w:pPr>
        <w:pStyle w:val="BodyText"/>
        <w:tabs>
          <w:tab w:val="num" w:pos="720"/>
        </w:tabs>
        <w:ind w:left="360"/>
        <w:jc w:val="both"/>
      </w:pPr>
      <w:r>
        <w:pict>
          <v:shape id="_x0000_i1028" type="#_x0000_t75" style="width:11.25pt;height:11.25pt" o:bullet="t">
            <v:imagedata r:id="rId5" o:title="BD10263_"/>
          </v:shape>
        </w:pict>
      </w:r>
      <w:r>
        <w:tab/>
        <w:t xml:space="preserve">»zapor spodbuja organiziranje okolja prestopnikov, ki so med seboj solidarni, </w:t>
      </w:r>
      <w:proofErr w:type="spellStart"/>
      <w:r>
        <w:t>hierhiarizirani</w:t>
      </w:r>
      <w:proofErr w:type="spellEnd"/>
      <w:r>
        <w:t xml:space="preserve"> in pripravljeni na prihodnja </w:t>
      </w:r>
      <w:proofErr w:type="spellStart"/>
      <w:r>
        <w:t>pajdašenja</w:t>
      </w:r>
      <w:proofErr w:type="spellEnd"/>
      <w:r>
        <w:t xml:space="preserve">« – tu Foucault omenja t.i. </w:t>
      </w:r>
      <w:proofErr w:type="spellStart"/>
      <w:r>
        <w:t>protidružbene</w:t>
      </w:r>
      <w:proofErr w:type="spellEnd"/>
      <w:r>
        <w:t xml:space="preserve"> klube, v katerih se obsojenec nauči spretnosti, s katerimi se bo izmuznil strogostim zakona</w:t>
      </w:r>
    </w:p>
    <w:p w:rsidR="008C2B46" w:rsidRDefault="008C2B46">
      <w:pPr>
        <w:pStyle w:val="BodyText"/>
        <w:tabs>
          <w:tab w:val="num" w:pos="720"/>
        </w:tabs>
        <w:ind w:left="360"/>
        <w:jc w:val="both"/>
      </w:pPr>
      <w:r>
        <w:pict>
          <v:shape id="_x0000_i1029" type="#_x0000_t75" style="width:11.25pt;height:11.25pt" o:bullet="t">
            <v:imagedata r:id="rId5" o:title="BD10263_"/>
          </v:shape>
        </w:pict>
      </w:r>
      <w:r>
        <w:tab/>
        <w:t>»pogoji, ki jih postavljajo spuščenim jetnikom, jih usodno obsojajo na povratništvo« – stalen policijski nadzor, prepoved bivanja, zaznamovanost v družbi..</w:t>
      </w:r>
    </w:p>
    <w:p w:rsidR="008C2B46" w:rsidRDefault="008C2B46">
      <w:pPr>
        <w:pStyle w:val="BodyText"/>
        <w:tabs>
          <w:tab w:val="num" w:pos="720"/>
        </w:tabs>
        <w:ind w:left="360"/>
        <w:jc w:val="both"/>
      </w:pPr>
      <w:r>
        <w:pict>
          <v:shape id="_x0000_i1030" type="#_x0000_t75" style="width:11.25pt;height:11.25pt" o:bullet="t">
            <v:imagedata r:id="rId5" o:title="BD10263_"/>
          </v:shape>
        </w:pict>
      </w:r>
      <w:r>
        <w:tab/>
        <w:t>»zapor dela prestopnike še posredno, tako da potisne v bedo jetnikovo družino«</w:t>
      </w:r>
    </w:p>
    <w:p w:rsidR="008C2B46" w:rsidRDefault="008C2B46">
      <w:pPr>
        <w:pStyle w:val="BodyText"/>
        <w:tabs>
          <w:tab w:val="num" w:pos="720"/>
        </w:tabs>
        <w:jc w:val="both"/>
      </w:pPr>
      <w:r>
        <w:lastRenderedPageBreak/>
        <w:t xml:space="preserve">Zgornjo kritiko zapora pa je treba izrekati v dveh smereh, da »zapor ni bil dejansko korektiven, saj je njegova kaznilniška tehnika ostala na </w:t>
      </w:r>
      <w:proofErr w:type="spellStart"/>
      <w:r>
        <w:t>rudimentarni</w:t>
      </w:r>
      <w:proofErr w:type="spellEnd"/>
      <w:r>
        <w:t xml:space="preserve"> stopnji in da bi, če bi hotel postati korektiven, zgubil kaznovalno moč.« Že več kot stoletje prikazujejo zapor kot zdravilo za njega samega in reforma, ki naj bi to spremenila, ni nikoli zares delovala. Zato se moramo po </w:t>
      </w:r>
      <w:proofErr w:type="spellStart"/>
      <w:r>
        <w:t>Foucaultovem</w:t>
      </w:r>
      <w:proofErr w:type="spellEnd"/>
      <w:r>
        <w:t xml:space="preserve"> mnenju vrniti k njenim osnovnim načelom, ki tvorijo »sedem univerzalnih </w:t>
      </w:r>
      <w:proofErr w:type="spellStart"/>
      <w:r>
        <w:t>maksim</w:t>
      </w:r>
      <w:proofErr w:type="spellEnd"/>
      <w:r>
        <w:t xml:space="preserve"> dobrih kaznilniških razmer«:</w:t>
      </w:r>
    </w:p>
    <w:p w:rsidR="008C2B46" w:rsidRDefault="008C2B46">
      <w:pPr>
        <w:pStyle w:val="BodyText"/>
        <w:tabs>
          <w:tab w:val="num" w:pos="720"/>
        </w:tabs>
        <w:ind w:left="360"/>
        <w:jc w:val="both"/>
      </w:pPr>
      <w:r>
        <w:pict>
          <v:shape id="_x0000_i1031" type="#_x0000_t75" style="width:11.25pt;height:11.25pt" o:bullet="t">
            <v:imagedata r:id="rId5" o:title="BD10263_"/>
          </v:shape>
        </w:pict>
      </w:r>
      <w:r>
        <w:tab/>
        <w:t xml:space="preserve">»Glavna funkcija kazenskega zapiranja mora biti spreminjanje posameznikovega obnašanja.« - </w:t>
      </w:r>
      <w:r>
        <w:rPr>
          <w:i/>
          <w:iCs/>
        </w:rPr>
        <w:t>načelo korekcije</w:t>
      </w:r>
    </w:p>
    <w:p w:rsidR="008C2B46" w:rsidRDefault="008C2B46">
      <w:pPr>
        <w:pStyle w:val="BodyText"/>
        <w:tabs>
          <w:tab w:val="num" w:pos="720"/>
        </w:tabs>
        <w:ind w:left="360"/>
        <w:jc w:val="both"/>
      </w:pPr>
      <w:r>
        <w:pict>
          <v:shape id="_x0000_i1032" type="#_x0000_t75" style="width:11.25pt;height:11.25pt" o:bullet="t">
            <v:imagedata r:id="rId5" o:title="BD10263_"/>
          </v:shape>
        </w:pict>
      </w:r>
      <w:r>
        <w:tab/>
        <w:t xml:space="preserve">»Jetniki morajo biti osamljeni ali vsaj razdeljeni glede na kazensko težo njihovega dejanja, zlasti po starosti, dispozicijah, korekcijskih tehnikah, ki jih nameravajo pri njih uporabiti, in po fazah njihovega spreminjanja.« - </w:t>
      </w:r>
      <w:r>
        <w:rPr>
          <w:i/>
          <w:iCs/>
        </w:rPr>
        <w:t>načelo klasifikacije</w:t>
      </w:r>
    </w:p>
    <w:p w:rsidR="008C2B46" w:rsidRDefault="008C2B46">
      <w:pPr>
        <w:pStyle w:val="BodyText"/>
        <w:tabs>
          <w:tab w:val="num" w:pos="720"/>
        </w:tabs>
        <w:ind w:left="360"/>
        <w:jc w:val="both"/>
      </w:pPr>
      <w:r>
        <w:pict>
          <v:shape id="_x0000_i1033" type="#_x0000_t75" style="width:11.25pt;height:11.25pt" o:bullet="t">
            <v:imagedata r:id="rId5" o:title="BD10263_"/>
          </v:shape>
        </w:pict>
      </w:r>
      <w:r>
        <w:tab/>
        <w:t xml:space="preserve">»Potek kazni mora biti mogoče spreminjati glede na individualnost jetnikov, na rezultate, ki jih dosegajo, na napredovanja ali povratništva.« - </w:t>
      </w:r>
      <w:r>
        <w:rPr>
          <w:i/>
          <w:iCs/>
        </w:rPr>
        <w:t>načelo modulacije kazni</w:t>
      </w:r>
    </w:p>
    <w:p w:rsidR="008C2B46" w:rsidRDefault="008C2B46">
      <w:pPr>
        <w:pStyle w:val="BodyText"/>
        <w:tabs>
          <w:tab w:val="num" w:pos="720"/>
        </w:tabs>
        <w:ind w:left="360"/>
        <w:jc w:val="both"/>
      </w:pPr>
      <w:r>
        <w:pict>
          <v:shape id="_x0000_i1034" type="#_x0000_t75" style="width:11.25pt;height:11.25pt" o:bullet="t">
            <v:imagedata r:id="rId5" o:title="BD10263_"/>
          </v:shape>
        </w:pict>
      </w:r>
      <w:r>
        <w:tab/>
        <w:t xml:space="preserve">»Telo mora biti eden izmed najpomembnejših dejavnikov pri preobrazbi in postopni socializaciji jetnikov.« - </w:t>
      </w:r>
      <w:r>
        <w:rPr>
          <w:i/>
          <w:iCs/>
        </w:rPr>
        <w:t>načelo dela kot obveznosti in pravice</w:t>
      </w:r>
    </w:p>
    <w:p w:rsidR="008C2B46" w:rsidRDefault="008C2B46">
      <w:pPr>
        <w:pStyle w:val="BodyText"/>
        <w:tabs>
          <w:tab w:val="num" w:pos="720"/>
        </w:tabs>
        <w:ind w:left="360"/>
        <w:jc w:val="both"/>
      </w:pPr>
      <w:r>
        <w:pict>
          <v:shape id="_x0000_i1035" type="#_x0000_t75" style="width:11.25pt;height:11.25pt" o:bullet="t">
            <v:imagedata r:id="rId5" o:title="BD10263_"/>
          </v:shape>
        </w:pict>
      </w:r>
      <w:r>
        <w:tab/>
        <w:t xml:space="preserve">»Jetnikova vzgoja je iz zornega kota javne moči hkrati nujen previdnosten ukrep v interesu družbe in obveznost do jetnika.« </w:t>
      </w:r>
      <w:r>
        <w:rPr>
          <w:i/>
          <w:iCs/>
        </w:rPr>
        <w:t>- načelo kaznilniške vzgoje</w:t>
      </w:r>
    </w:p>
    <w:p w:rsidR="008C2B46" w:rsidRDefault="008C2B46">
      <w:pPr>
        <w:pStyle w:val="BodyText"/>
        <w:tabs>
          <w:tab w:val="num" w:pos="720"/>
        </w:tabs>
        <w:ind w:left="360"/>
        <w:jc w:val="both"/>
        <w:rPr>
          <w:i/>
          <w:iCs/>
        </w:rPr>
      </w:pPr>
      <w:r>
        <w:pict>
          <v:shape id="_x0000_i1036" type="#_x0000_t75" style="width:11.25pt;height:11.25pt" o:bullet="t">
            <v:imagedata r:id="rId5" o:title="BD10263_"/>
          </v:shape>
        </w:pict>
      </w:r>
      <w:r>
        <w:tab/>
        <w:t xml:space="preserve">»Režim v zaporu mora vsaj delno kontrolirati specializirano osebje, ki ima moralne in tehnične zmožnosti, da bdi nad dobro vzgojo </w:t>
      </w:r>
      <w:proofErr w:type="spellStart"/>
      <w:r>
        <w:t>individuov</w:t>
      </w:r>
      <w:proofErr w:type="spellEnd"/>
      <w:r>
        <w:t xml:space="preserve">, in je to tudi njegova naloga.« </w:t>
      </w:r>
      <w:r>
        <w:rPr>
          <w:i/>
          <w:iCs/>
        </w:rPr>
        <w:t>- načelo tehnične kontrole zaprtosti</w:t>
      </w:r>
    </w:p>
    <w:p w:rsidR="008C2B46" w:rsidRDefault="008C2B46">
      <w:pPr>
        <w:pStyle w:val="BodyText"/>
        <w:tabs>
          <w:tab w:val="num" w:pos="720"/>
        </w:tabs>
        <w:ind w:left="360"/>
        <w:jc w:val="both"/>
      </w:pPr>
      <w:r>
        <w:pict>
          <v:shape id="_x0000_i1037" type="#_x0000_t75" style="width:11.25pt;height:11.25pt" o:bullet="t">
            <v:imagedata r:id="rId5" o:title="BD10263_"/>
          </v:shape>
        </w:pict>
      </w:r>
      <w:r>
        <w:tab/>
        <w:t xml:space="preserve">»Po zaporu morajo priti na vrsto kontrolni in </w:t>
      </w:r>
      <w:proofErr w:type="spellStart"/>
      <w:r>
        <w:t>pomagalski</w:t>
      </w:r>
      <w:proofErr w:type="spellEnd"/>
      <w:r>
        <w:t xml:space="preserve"> ukrepi vse do dokončne </w:t>
      </w:r>
      <w:proofErr w:type="spellStart"/>
      <w:r>
        <w:t>readaptacije</w:t>
      </w:r>
      <w:proofErr w:type="spellEnd"/>
      <w:r>
        <w:t xml:space="preserve"> nekdanjega jetnika.« </w:t>
      </w:r>
      <w:r>
        <w:rPr>
          <w:i/>
          <w:iCs/>
        </w:rPr>
        <w:t>- načelo dodatnih institucij</w:t>
      </w:r>
    </w:p>
    <w:p w:rsidR="008C2B46" w:rsidRDefault="008C2B46">
      <w:pPr>
        <w:pStyle w:val="BodyText"/>
        <w:tabs>
          <w:tab w:val="num" w:pos="720"/>
        </w:tabs>
        <w:jc w:val="both"/>
      </w:pPr>
      <w:r>
        <w:t xml:space="preserve">Ti ponavljajoči predlogi potrjujejo </w:t>
      </w:r>
      <w:proofErr w:type="spellStart"/>
      <w:r>
        <w:t>Foucaultovo</w:t>
      </w:r>
      <w:proofErr w:type="spellEnd"/>
      <w:r>
        <w:t xml:space="preserve"> tezo, da zapora ne smemo jemati kot tri zaporedne etape, temveč kot simultani sistem, sistem s štirimi členi, ki vsebuje; »disciplinsko dopolnilo zapora – element presežene oblasti; produkcijo objektivnosti, tehnike in kaznilniške racionalnosti – element pripojene vednosti; dejansko vnovično uvajanje, če ne kar stopnjevanje zločinskosti, ki bi jo moral zapor uničevati – element narobe učinkovitosti; in še ponavljanje reforme, ki je kljub svoji »idealnosti« izomorfna disciplinskemu delovanju zapora – element utopične podvojitve. Ta domneven neuspeh zapora je torej eden izmed učinkov moči, ki jih lahko damo na skupni imenovalec t.i. </w:t>
      </w:r>
      <w:proofErr w:type="spellStart"/>
      <w:r>
        <w:t>karceralnega</w:t>
      </w:r>
      <w:proofErr w:type="spellEnd"/>
      <w:r>
        <w:t xml:space="preserve"> sistema. Foucault v nadaljevanju ugotavlja, da je kljub navidezni neuspešnosti zapora, njegov namen v tem, da markira prestopnike in jih </w:t>
      </w:r>
      <w:proofErr w:type="spellStart"/>
      <w:r>
        <w:t>producira</w:t>
      </w:r>
      <w:proofErr w:type="spellEnd"/>
      <w:r>
        <w:t xml:space="preserve">. Namen zapora torej ni odpraviti kršitev, temveč da le-te  razlikuje, distribuira in uporabi. </w:t>
      </w:r>
      <w:proofErr w:type="spellStart"/>
      <w:r>
        <w:t>Kaznovalnost</w:t>
      </w:r>
      <w:proofErr w:type="spellEnd"/>
      <w:r>
        <w:t xml:space="preserve"> potemtakem ne bi zatirala </w:t>
      </w:r>
      <w:proofErr w:type="spellStart"/>
      <w:r>
        <w:t>ilegalizmov</w:t>
      </w:r>
      <w:proofErr w:type="spellEnd"/>
      <w:r>
        <w:t xml:space="preserve">, temveč le diferencirala in jim zagotavljala splošno ekonomijo. Glavna naloga reforme iz 18. stoletja je neke vrste boj proti </w:t>
      </w:r>
      <w:proofErr w:type="spellStart"/>
      <w:r>
        <w:t>ilegalizmom</w:t>
      </w:r>
      <w:proofErr w:type="spellEnd"/>
      <w:r>
        <w:t xml:space="preserve">, katerih ravnovesje je bilo že zdavnaj porušeno. Na prehodu </w:t>
      </w:r>
      <w:r>
        <w:lastRenderedPageBreak/>
        <w:t xml:space="preserve">stoletja pa se je pojavila nevarnost novih, ljudskih </w:t>
      </w:r>
      <w:proofErr w:type="spellStart"/>
      <w:r>
        <w:t>ilegalizmov</w:t>
      </w:r>
      <w:proofErr w:type="spellEnd"/>
      <w:r>
        <w:t xml:space="preserve">, ki so bili razdeljeni na tri procese: </w:t>
      </w:r>
    </w:p>
    <w:p w:rsidR="008C2B46" w:rsidRDefault="008C2B46">
      <w:pPr>
        <w:pStyle w:val="BodyText"/>
        <w:tabs>
          <w:tab w:val="num" w:pos="1080"/>
        </w:tabs>
        <w:ind w:left="720"/>
        <w:jc w:val="both"/>
      </w:pPr>
      <w:r>
        <w:pict>
          <v:shape id="_x0000_i1038" type="#_x0000_t75" style="width:11.25pt;height:11.25pt" o:bullet="t">
            <v:imagedata r:id="rId5" o:title="BD10263_"/>
          </v:shape>
        </w:pict>
      </w:r>
      <w:r>
        <w:tab/>
        <w:t xml:space="preserve">razvoj političnih razsežnosti ljudskih </w:t>
      </w:r>
      <w:proofErr w:type="spellStart"/>
      <w:r>
        <w:t>ilegalizmov</w:t>
      </w:r>
      <w:proofErr w:type="spellEnd"/>
      <w:r>
        <w:t>; prakse, ki so bile dotlej lokalizirane, so se lahko med revolucijo iztekle v odkrite politične boje</w:t>
      </w:r>
    </w:p>
    <w:p w:rsidR="008C2B46" w:rsidRDefault="008C2B46">
      <w:pPr>
        <w:pStyle w:val="BodyText"/>
        <w:tabs>
          <w:tab w:val="num" w:pos="1080"/>
        </w:tabs>
        <w:ind w:left="720"/>
        <w:jc w:val="both"/>
      </w:pPr>
      <w:r>
        <w:pict>
          <v:shape id="_x0000_i1039" type="#_x0000_t75" style="width:11.25pt;height:11.25pt" o:bullet="t">
            <v:imagedata r:id="rId5" o:title="BD10263_"/>
          </v:shape>
        </w:pict>
      </w:r>
      <w:r>
        <w:tab/>
        <w:t xml:space="preserve">razvoj kmečkih </w:t>
      </w:r>
      <w:proofErr w:type="spellStart"/>
      <w:r>
        <w:t>ilegalizmov</w:t>
      </w:r>
      <w:proofErr w:type="spellEnd"/>
      <w:r>
        <w:t xml:space="preserve"> zoper nov režim zemljiške lastnine, ki ga je vzpostavila buržoazija in se pri tem okoriščala z revolucijo</w:t>
      </w:r>
    </w:p>
    <w:p w:rsidR="008C2B46" w:rsidRDefault="008C2B46">
      <w:pPr>
        <w:pStyle w:val="BodyText"/>
        <w:tabs>
          <w:tab w:val="num" w:pos="1080"/>
        </w:tabs>
        <w:ind w:left="720"/>
        <w:jc w:val="both"/>
      </w:pPr>
      <w:r>
        <w:pict>
          <v:shape id="_x0000_i1040" type="#_x0000_t75" style="width:11.25pt;height:11.25pt" o:bullet="t">
            <v:imagedata r:id="rId5" o:title="BD10263_"/>
          </v:shape>
        </w:pict>
      </w:r>
      <w:r>
        <w:tab/>
        <w:t xml:space="preserve">specializacija kriminalitete; združitev različnih vrst </w:t>
      </w:r>
      <w:proofErr w:type="spellStart"/>
      <w:r>
        <w:t>ilegalizmov</w:t>
      </w:r>
      <w:proofErr w:type="spellEnd"/>
      <w:r>
        <w:t>, ki predstavljajo novo grožnjo</w:t>
      </w:r>
    </w:p>
    <w:p w:rsidR="008C2B46" w:rsidRDefault="008C2B46">
      <w:pPr>
        <w:pStyle w:val="BodyText"/>
        <w:jc w:val="both"/>
      </w:pPr>
      <w:r>
        <w:t xml:space="preserve">Prav tako so se na prehodu stoletja ljudski </w:t>
      </w:r>
      <w:proofErr w:type="spellStart"/>
      <w:r>
        <w:t>ilegalizmi</w:t>
      </w:r>
      <w:proofErr w:type="spellEnd"/>
      <w:r>
        <w:t xml:space="preserve"> trikrat posplošili:</w:t>
      </w:r>
    </w:p>
    <w:p w:rsidR="008C2B46" w:rsidRDefault="008C2B46">
      <w:pPr>
        <w:pStyle w:val="BodyText"/>
        <w:tabs>
          <w:tab w:val="num" w:pos="1080"/>
        </w:tabs>
        <w:ind w:left="720"/>
        <w:jc w:val="both"/>
      </w:pPr>
      <w:r>
        <w:pict>
          <v:shape id="_x0000_i1041" type="#_x0000_t75" style="width:11.25pt;height:11.25pt" o:bullet="t">
            <v:imagedata r:id="rId5" o:title="BD10263_"/>
          </v:shape>
        </w:pict>
      </w:r>
      <w:r>
        <w:tab/>
        <w:t>vrnili so se v splošen političen horizont</w:t>
      </w:r>
    </w:p>
    <w:p w:rsidR="008C2B46" w:rsidRDefault="008C2B46">
      <w:pPr>
        <w:pStyle w:val="BodyText"/>
        <w:tabs>
          <w:tab w:val="num" w:pos="1080"/>
        </w:tabs>
        <w:ind w:left="720"/>
        <w:jc w:val="both"/>
      </w:pPr>
      <w:r>
        <w:pict>
          <v:shape id="_x0000_i1042" type="#_x0000_t75" style="width:11.25pt;height:11.25pt" o:bullet="t">
            <v:imagedata r:id="rId5" o:title="BD10263_"/>
          </v:shape>
        </w:pict>
      </w:r>
      <w:r>
        <w:tab/>
        <w:t>usmerili so se eksplicitno  na družbene boje</w:t>
      </w:r>
    </w:p>
    <w:p w:rsidR="008C2B46" w:rsidRDefault="008C2B46">
      <w:pPr>
        <w:pStyle w:val="BodyText"/>
        <w:tabs>
          <w:tab w:val="num" w:pos="1080"/>
        </w:tabs>
        <w:ind w:left="720"/>
        <w:jc w:val="both"/>
      </w:pPr>
      <w:r>
        <w:pict>
          <v:shape id="_x0000_i1043" type="#_x0000_t75" style="width:11.25pt;height:11.25pt" o:bullet="t">
            <v:imagedata r:id="rId5" o:title="BD10263_"/>
          </v:shape>
        </w:pict>
      </w:r>
      <w:r>
        <w:tab/>
        <w:t>povezale so se različne oblike in ravni kršitev</w:t>
      </w:r>
    </w:p>
    <w:p w:rsidR="008C2B46" w:rsidRDefault="008C2B46">
      <w:pPr>
        <w:pStyle w:val="BodyText"/>
        <w:jc w:val="both"/>
      </w:pPr>
      <w:r>
        <w:t xml:space="preserve">Čeprav so imeli ti procesi le obliko zametka, so vzbujali strah pri buržoaziji; pojavi se mit o barbarskem in nemoralnem razredu, ki naj bi bil zunaj zakona. Tudi zakon sam je bil sicer obveza za vse državljane, namenjen pa je bil le »najštevilčnejšim in najmanj razsvetljenim razredom; družbena kategorija, ki je zadolžena za red, z uporabo zakonov sankcionira drugo, ki ji je usojen nered.« Zakon in sodstvo torej ne zanikata razredne asimetrije, ki očitno </w:t>
      </w:r>
      <w:proofErr w:type="spellStart"/>
      <w:r>
        <w:t>depriviligira</w:t>
      </w:r>
      <w:proofErr w:type="spellEnd"/>
      <w:r>
        <w:t xml:space="preserve"> in diskriminira  ta t.i. nemoralni razred. Kljub navideznemu neuspehu, pa zapor vendarle doseže svoj namen in izzove posebno obliko </w:t>
      </w:r>
      <w:proofErr w:type="spellStart"/>
      <w:r>
        <w:t>ilegalizma</w:t>
      </w:r>
      <w:proofErr w:type="spellEnd"/>
      <w:r>
        <w:t xml:space="preserve">, jo izolira od drugih oblik in organizira kot zaprto okolje prestopništva. Prestopništvo pa pri tem ne velja za nek nasilen </w:t>
      </w:r>
      <w:proofErr w:type="spellStart"/>
      <w:r>
        <w:t>ilegalizem</w:t>
      </w:r>
      <w:proofErr w:type="spellEnd"/>
      <w:r>
        <w:t xml:space="preserve">, ampak je prej rezultat kaznovanja, ki omogoča nadziranje </w:t>
      </w:r>
      <w:proofErr w:type="spellStart"/>
      <w:r>
        <w:t>ilegalizmov</w:t>
      </w:r>
      <w:proofErr w:type="spellEnd"/>
      <w:r>
        <w:t xml:space="preserve">. Produkcija prestopništva je koristna, saj izpostavi in izolira določene </w:t>
      </w:r>
      <w:proofErr w:type="spellStart"/>
      <w:r>
        <w:t>ilegalizme</w:t>
      </w:r>
      <w:proofErr w:type="spellEnd"/>
      <w:r>
        <w:t xml:space="preserve"> in hkrati omogoča, da druge oblike </w:t>
      </w:r>
      <w:proofErr w:type="spellStart"/>
      <w:r>
        <w:t>ilegalizmov</w:t>
      </w:r>
      <w:proofErr w:type="spellEnd"/>
      <w:r>
        <w:t xml:space="preserve"> ostanejo v senci. Prestopništvo torej ni nekaj, kar bi kazenski aparat skušal omejiti, je bolj učinek </w:t>
      </w:r>
      <w:proofErr w:type="spellStart"/>
      <w:r>
        <w:t>kaznovalnosti</w:t>
      </w:r>
      <w:proofErr w:type="spellEnd"/>
      <w:r>
        <w:t xml:space="preserve">, ki omogoča, da </w:t>
      </w:r>
      <w:proofErr w:type="spellStart"/>
      <w:r>
        <w:t>difernciramo</w:t>
      </w:r>
      <w:proofErr w:type="spellEnd"/>
      <w:r>
        <w:t xml:space="preserve">, urejamo in kontroliramo </w:t>
      </w:r>
      <w:proofErr w:type="spellStart"/>
      <w:r>
        <w:t>ilegalizme</w:t>
      </w:r>
      <w:proofErr w:type="spellEnd"/>
      <w:r>
        <w:t xml:space="preserve">.  Prav zato zapor žanje velike uspehe s produkcijo prestopništva, ki je iz političnega in ekonomskega vidika mogoče najmanj nevarna oblika </w:t>
      </w:r>
      <w:proofErr w:type="spellStart"/>
      <w:r>
        <w:t>ilegalizma</w:t>
      </w:r>
      <w:proofErr w:type="spellEnd"/>
      <w:r>
        <w:t xml:space="preserve"> in povrhu še uporabna. Tu se poraja vprašanje, zakaj zapor </w:t>
      </w:r>
      <w:proofErr w:type="spellStart"/>
      <w:r>
        <w:t>producira</w:t>
      </w:r>
      <w:proofErr w:type="spellEnd"/>
      <w:r>
        <w:t xml:space="preserve"> prestopništvo, proti kateremu se hkrati bori? Prestopništvo ima kljub negativni konotaciji določene prednosti:</w:t>
      </w:r>
    </w:p>
    <w:p w:rsidR="008C2B46" w:rsidRDefault="008C2B46">
      <w:pPr>
        <w:pStyle w:val="BodyText"/>
        <w:tabs>
          <w:tab w:val="num" w:pos="720"/>
        </w:tabs>
        <w:ind w:left="360"/>
        <w:jc w:val="both"/>
      </w:pPr>
      <w:r>
        <w:pict>
          <v:shape id="_x0000_i1044" type="#_x0000_t75" style="width:11.25pt;height:11.25pt" o:bullet="t">
            <v:imagedata r:id="rId5" o:title="BD10263_"/>
          </v:shape>
        </w:pict>
      </w:r>
      <w:r>
        <w:tab/>
        <w:t>prestopništvo je mogoče nadzirati, saj so prestopniki navadno majhna skupina</w:t>
      </w:r>
    </w:p>
    <w:p w:rsidR="008C2B46" w:rsidRDefault="008C2B46">
      <w:pPr>
        <w:pStyle w:val="BodyText"/>
        <w:tabs>
          <w:tab w:val="num" w:pos="720"/>
        </w:tabs>
        <w:ind w:left="360"/>
        <w:jc w:val="both"/>
      </w:pPr>
      <w:r>
        <w:pict>
          <v:shape id="_x0000_i1045" type="#_x0000_t75" style="width:11.25pt;height:11.25pt" o:bullet="t">
            <v:imagedata r:id="rId5" o:title="BD10263_"/>
          </v:shape>
        </w:pict>
      </w:r>
      <w:r>
        <w:tab/>
        <w:t xml:space="preserve">to vase zaprto prestopništvo je mogoče usmeriti k tistim oblikam </w:t>
      </w:r>
      <w:proofErr w:type="spellStart"/>
      <w:r>
        <w:t>ilegalizma</w:t>
      </w:r>
      <w:proofErr w:type="spellEnd"/>
      <w:r>
        <w:t>, ki so najmanj nevarne</w:t>
      </w:r>
    </w:p>
    <w:p w:rsidR="008C2B46" w:rsidRDefault="008C2B46">
      <w:pPr>
        <w:pStyle w:val="BodyText"/>
        <w:tabs>
          <w:tab w:val="num" w:pos="720"/>
        </w:tabs>
        <w:ind w:left="360"/>
        <w:jc w:val="both"/>
      </w:pPr>
      <w:r>
        <w:pict>
          <v:shape id="_x0000_i1046" type="#_x0000_t75" style="width:11.25pt;height:11.25pt" o:bullet="t">
            <v:imagedata r:id="rId5" o:title="BD10263_"/>
          </v:shape>
        </w:pict>
      </w:r>
      <w:r>
        <w:tab/>
        <w:t xml:space="preserve">prestopništvo se da neposredno uporabiti; primer </w:t>
      </w:r>
      <w:proofErr w:type="spellStart"/>
      <w:r>
        <w:t>koloniziranja</w:t>
      </w:r>
      <w:proofErr w:type="spellEnd"/>
      <w:r>
        <w:t xml:space="preserve"> – okolje, ki je ločeno in se da z njim manipulirati</w:t>
      </w:r>
    </w:p>
    <w:p w:rsidR="008C2B46" w:rsidRDefault="008C2B46">
      <w:pPr>
        <w:pStyle w:val="BodyText"/>
        <w:tabs>
          <w:tab w:val="num" w:pos="720"/>
        </w:tabs>
        <w:ind w:left="360"/>
        <w:jc w:val="both"/>
      </w:pPr>
      <w:r>
        <w:pict>
          <v:shape id="_x0000_i1047" type="#_x0000_t75" style="width:11.25pt;height:11.25pt" o:bullet="t">
            <v:imagedata r:id="rId5" o:title="BD10263_"/>
          </v:shape>
        </w:pict>
      </w:r>
      <w:r>
        <w:tab/>
        <w:t xml:space="preserve">prestopništvo je lahko agens za </w:t>
      </w:r>
      <w:proofErr w:type="spellStart"/>
      <w:r>
        <w:t>ilegalizem</w:t>
      </w:r>
      <w:proofErr w:type="spellEnd"/>
      <w:r>
        <w:t xml:space="preserve"> vladajočih skupin; prestopniki kot politični obveščevalci</w:t>
      </w:r>
    </w:p>
    <w:p w:rsidR="008C2B46" w:rsidRDefault="008C2B46">
      <w:pPr>
        <w:pStyle w:val="BodyText"/>
        <w:tabs>
          <w:tab w:val="num" w:pos="720"/>
        </w:tabs>
        <w:jc w:val="both"/>
      </w:pPr>
      <w:r>
        <w:lastRenderedPageBreak/>
        <w:t xml:space="preserve">Organizacija prestopništva pa ne bi bila mogoča brez političnega nadzora. Prav nadziranje prestopništva omogoča vladi kontrolo nad celotnim družbenim poljem. »Splošno nadzorovanje prebivalstva je oko vlade, ki je nenehno odprto in bdi nad vsemi državljani, ne da bi jih pri tem izpostavilo kakršnemukoli </w:t>
      </w:r>
      <w:proofErr w:type="spellStart"/>
      <w:r>
        <w:t>prisiljevalnemu</w:t>
      </w:r>
      <w:proofErr w:type="spellEnd"/>
      <w:r>
        <w:t xml:space="preserve"> ukrepu…«. Prestopništvo, ki je eden izmed objektov policijskega nadzora, pa je hkrati eden izmed privilegiranih instrumentov tega nadzora. Nadzorovanje deluje samo v duetu z zaporom, ki </w:t>
      </w:r>
      <w:proofErr w:type="spellStart"/>
      <w:r>
        <w:t>producira</w:t>
      </w:r>
      <w:proofErr w:type="spellEnd"/>
      <w:r>
        <w:t xml:space="preserve"> organizacijo prestopništva. Zapor in policija skupaj ustvarjata zaprt svet prestopništva, pri čemer vsak izmed njiju podpira drugega: »Policijsko kaznovanje oskrbuje zapor s kršilci, ki jih ta spreminja v prestopnike, tarče in pripomočke policijskih kontrol, ki redno pošiljajo nekatere izmed njih nazaj v zapor.« Pojavljati se začnejo številna neuspešna prizadevanja ločitve prestopništva od najnižjega razreda, med katerimi je bolj znana polemika o zločinu in kazni pri ljudskih časnikarjih. Ti namreč opozarjajo, da izvira prestopništva ne gre pripisovati zločinskemu </w:t>
      </w:r>
      <w:proofErr w:type="spellStart"/>
      <w:r>
        <w:t>individuu</w:t>
      </w:r>
      <w:proofErr w:type="spellEnd"/>
      <w:r>
        <w:t xml:space="preserve">, temveč družbi. Slaba družbena organizacija je tista, ki ni zmožna poskrbeti na človekove temeljne potrebe in v njem poruši ali izbriše možnosti, aspiracije in zahteve, ki se kasneje pokažejo v zločinu. Prav tako se zakon zlomi, ko pride do </w:t>
      </w:r>
      <w:proofErr w:type="spellStart"/>
      <w:r>
        <w:t>ilegalizmov</w:t>
      </w:r>
      <w:proofErr w:type="spellEnd"/>
      <w:r>
        <w:t xml:space="preserve"> vladajočega sloja; tovrstno prestopništvo zakoni tolerirajo, sodišča mu prizanašajo, tisk pa  mu zagotavlja diskretnost. To pa je ravno tisto, proti čemur se borijo ljudski časnikarji; namreč ločitev prestopništva od </w:t>
      </w:r>
      <w:proofErr w:type="spellStart"/>
      <w:r>
        <w:t>ilegalizmov</w:t>
      </w:r>
      <w:proofErr w:type="spellEnd"/>
      <w:r>
        <w:t xml:space="preserve"> in </w:t>
      </w:r>
      <w:proofErr w:type="spellStart"/>
      <w:r>
        <w:t>legalizmov</w:t>
      </w:r>
      <w:proofErr w:type="spellEnd"/>
      <w:r>
        <w:t xml:space="preserve"> vladajočega razreda – neodvisnost od aspiracij vodilnih. </w:t>
      </w:r>
    </w:p>
    <w:p w:rsidR="008C2B46" w:rsidRDefault="008C2B46">
      <w:pPr>
        <w:pStyle w:val="BodyText"/>
        <w:tabs>
          <w:tab w:val="num" w:pos="720"/>
        </w:tabs>
        <w:jc w:val="both"/>
      </w:pPr>
    </w:p>
    <w:p w:rsidR="008C2B46" w:rsidRDefault="008C2B46">
      <w:pPr>
        <w:pStyle w:val="BodyText"/>
        <w:tabs>
          <w:tab w:val="num" w:pos="720"/>
        </w:tabs>
        <w:jc w:val="both"/>
      </w:pPr>
    </w:p>
    <w:p w:rsidR="008C2B46" w:rsidRDefault="008C2B46">
      <w:pPr>
        <w:pStyle w:val="BodyText"/>
        <w:tabs>
          <w:tab w:val="num" w:pos="720"/>
        </w:tabs>
        <w:jc w:val="both"/>
      </w:pPr>
    </w:p>
    <w:p w:rsidR="008C2B46" w:rsidRDefault="008C2B46">
      <w:pPr>
        <w:pStyle w:val="BodyText"/>
        <w:tabs>
          <w:tab w:val="num" w:pos="720"/>
        </w:tabs>
        <w:jc w:val="both"/>
      </w:pPr>
    </w:p>
    <w:p w:rsidR="008C2B46" w:rsidRDefault="008C2B46">
      <w:pPr>
        <w:pStyle w:val="BodyText"/>
        <w:tabs>
          <w:tab w:val="num" w:pos="720"/>
        </w:tabs>
        <w:jc w:val="both"/>
      </w:pPr>
    </w:p>
    <w:p w:rsidR="008C2B46" w:rsidRDefault="008C2B46">
      <w:pPr>
        <w:pStyle w:val="BodyText"/>
        <w:tabs>
          <w:tab w:val="num" w:pos="720"/>
        </w:tabs>
        <w:jc w:val="both"/>
      </w:pPr>
    </w:p>
    <w:p w:rsidR="008C2B46" w:rsidRDefault="008C2B46">
      <w:pPr>
        <w:pStyle w:val="BodyText"/>
        <w:tabs>
          <w:tab w:val="num" w:pos="720"/>
        </w:tabs>
        <w:jc w:val="both"/>
      </w:pPr>
    </w:p>
    <w:p w:rsidR="008C2B46" w:rsidRDefault="008C2B46">
      <w:pPr>
        <w:pStyle w:val="BodyText"/>
        <w:tabs>
          <w:tab w:val="num" w:pos="720"/>
        </w:tabs>
        <w:jc w:val="both"/>
      </w:pPr>
    </w:p>
    <w:p w:rsidR="008C2B46" w:rsidRDefault="008C2B46">
      <w:pPr>
        <w:pStyle w:val="BodyText"/>
        <w:tabs>
          <w:tab w:val="num" w:pos="720"/>
        </w:tabs>
        <w:jc w:val="both"/>
      </w:pPr>
    </w:p>
    <w:p w:rsidR="008C2B46" w:rsidRDefault="008C2B46">
      <w:pPr>
        <w:pStyle w:val="BodyText"/>
        <w:tabs>
          <w:tab w:val="num" w:pos="720"/>
        </w:tabs>
        <w:jc w:val="both"/>
      </w:pPr>
    </w:p>
    <w:p w:rsidR="008C2B46" w:rsidRDefault="008C2B46">
      <w:pPr>
        <w:pStyle w:val="BodyText"/>
        <w:tabs>
          <w:tab w:val="num" w:pos="720"/>
        </w:tabs>
        <w:jc w:val="both"/>
      </w:pPr>
    </w:p>
    <w:p w:rsidR="008C2B46" w:rsidRDefault="008C2B46">
      <w:pPr>
        <w:pStyle w:val="BodyText"/>
        <w:tabs>
          <w:tab w:val="num" w:pos="720"/>
        </w:tabs>
        <w:jc w:val="both"/>
      </w:pPr>
    </w:p>
    <w:p w:rsidR="008C2B46" w:rsidRDefault="008C2B46">
      <w:pPr>
        <w:pStyle w:val="BodyText"/>
        <w:tabs>
          <w:tab w:val="num" w:pos="720"/>
        </w:tabs>
        <w:jc w:val="both"/>
      </w:pPr>
    </w:p>
    <w:p w:rsidR="008C2B46" w:rsidRDefault="008C2B46">
      <w:pPr>
        <w:pStyle w:val="BodyText"/>
        <w:tabs>
          <w:tab w:val="num" w:pos="720"/>
        </w:tabs>
        <w:jc w:val="both"/>
      </w:pPr>
    </w:p>
    <w:p w:rsidR="008C2B46" w:rsidRDefault="008C2B46">
      <w:pPr>
        <w:pStyle w:val="BodyText"/>
        <w:tabs>
          <w:tab w:val="num" w:pos="720"/>
        </w:tabs>
      </w:pPr>
    </w:p>
    <w:p w:rsidR="008C2B46" w:rsidRDefault="008C2B46">
      <w:pPr>
        <w:pStyle w:val="BodyText"/>
        <w:tabs>
          <w:tab w:val="num" w:pos="720"/>
        </w:tabs>
      </w:pPr>
    </w:p>
    <w:sectPr w:rsidR="008C2B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C247E"/>
    <w:multiLevelType w:val="hybridMultilevel"/>
    <w:tmpl w:val="2BDE4E66"/>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1FCB66C7"/>
    <w:multiLevelType w:val="hybridMultilevel"/>
    <w:tmpl w:val="38A45FD2"/>
    <w:lvl w:ilvl="0" w:tplc="A9C09838">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23482CD2"/>
    <w:multiLevelType w:val="hybridMultilevel"/>
    <w:tmpl w:val="2BDE4E66"/>
    <w:lvl w:ilvl="0" w:tplc="04240003">
      <w:start w:val="1"/>
      <w:numFmt w:val="bullet"/>
      <w:lvlText w:val="o"/>
      <w:lvlJc w:val="left"/>
      <w:pPr>
        <w:tabs>
          <w:tab w:val="num" w:pos="720"/>
        </w:tabs>
        <w:ind w:left="72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39F811E3"/>
    <w:multiLevelType w:val="hybridMultilevel"/>
    <w:tmpl w:val="2BDE4E66"/>
    <w:lvl w:ilvl="0" w:tplc="81727D82">
      <w:start w:val="1"/>
      <w:numFmt w:val="bullet"/>
      <w:lvlText w:val="-"/>
      <w:lvlJc w:val="left"/>
      <w:pPr>
        <w:tabs>
          <w:tab w:val="num" w:pos="720"/>
        </w:tabs>
        <w:ind w:left="720" w:hanging="360"/>
      </w:pPr>
      <w:rPr>
        <w:rFonts w:hAnsi="Courier New"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5D1A7886"/>
    <w:multiLevelType w:val="hybridMultilevel"/>
    <w:tmpl w:val="32F07E74"/>
    <w:lvl w:ilvl="0" w:tplc="A6F451CA">
      <w:numFmt w:val="bullet"/>
      <w:lvlText w:val="-"/>
      <w:lvlJc w:val="left"/>
      <w:pPr>
        <w:tabs>
          <w:tab w:val="num" w:pos="720"/>
        </w:tabs>
        <w:ind w:left="720" w:hanging="360"/>
      </w:pPr>
      <w:rPr>
        <w:rFonts w:ascii="Times New Roman" w:eastAsia="Times New Roman" w:hAnsi="Times New Roman" w:cs="Times New Roman" w:hint="default"/>
      </w:rPr>
    </w:lvl>
    <w:lvl w:ilvl="1" w:tplc="0424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649E3B49"/>
    <w:multiLevelType w:val="hybridMultilevel"/>
    <w:tmpl w:val="35266594"/>
    <w:lvl w:ilvl="0" w:tplc="81727D82">
      <w:start w:val="1"/>
      <w:numFmt w:val="bullet"/>
      <w:lvlText w:val="-"/>
      <w:lvlJc w:val="left"/>
      <w:pPr>
        <w:tabs>
          <w:tab w:val="num" w:pos="720"/>
        </w:tabs>
        <w:ind w:left="720" w:hanging="360"/>
      </w:pPr>
      <w:rPr>
        <w:rFonts w:hAnsi="Courier New"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69CD2E7C"/>
    <w:multiLevelType w:val="hybridMultilevel"/>
    <w:tmpl w:val="2BDE4E66"/>
    <w:lvl w:ilvl="0" w:tplc="04240009">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6"/>
  </w:num>
  <w:num w:numId="4">
    <w:abstractNumId w:val="0"/>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11BA"/>
    <w:rsid w:val="008C2B46"/>
    <w:rsid w:val="00DD11BA"/>
    <w:rsid w:val="00EF667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line="360" w:lineRule="auto"/>
    </w:pPr>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1447</Words>
  <Characters>8253</Characters>
  <Application>Microsoft Office Word</Application>
  <DocSecurity>0</DocSecurity>
  <Lines>68</Lines>
  <Paragraphs>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Michel Foucault: Nadzorovanje in kaznovanje - Nastanek zapora</vt:lpstr>
      <vt:lpstr>Michel Foucault: Nadzorovanje in kaznovanje - Nastanek zapora</vt:lpstr>
    </vt:vector>
  </TitlesOfParts>
  <Company>n/a</Company>
  <LinksUpToDate>false</LinksUpToDate>
  <CharactersWithSpaces>9681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Michel Foucault: Nadzorovanje in kaznovanje - Nastanek zapora</dc:title>
  <dc:creator>shkamaru</dc:creator>
  <cp:lastModifiedBy>Jaka</cp:lastModifiedBy>
  <cp:revision>2</cp:revision>
  <dcterms:created xsi:type="dcterms:W3CDTF">2014-02-01T13:59:00Z</dcterms:created>
  <dcterms:modified xsi:type="dcterms:W3CDTF">2014-02-01T13:59:00Z</dcterms:modified>
</cp:coreProperties>
</file>