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F8" w:rsidRDefault="00756CF8" w:rsidP="00756CF8">
      <w:pPr>
        <w:pStyle w:val="Heading1"/>
        <w:spacing w:line="250" w:lineRule="exact"/>
        <w:ind w:left="0" w:right="46" w:firstLine="0"/>
        <w:rPr>
          <w:rFonts w:ascii="Arial" w:hAnsi="Arial" w:cs="Arial"/>
          <w:color w:val="0000FF"/>
          <w:sz w:val="20"/>
          <w:szCs w:val="22"/>
          <w:lang w:val="en-GB"/>
        </w:rPr>
      </w:pPr>
      <w:r>
        <w:rPr>
          <w:rFonts w:ascii="Arial" w:hAnsi="Arial" w:cs="Arial"/>
          <w:color w:val="0000FF"/>
          <w:sz w:val="20"/>
          <w:szCs w:val="22"/>
          <w:lang w:val="en-GB"/>
        </w:rPr>
        <w:t>PRAVNA NORMA (PRAVNO PRAVILO)</w:t>
      </w:r>
      <w:r>
        <w:rPr>
          <w:rFonts w:ascii="Arial" w:hAnsi="Arial" w:cs="Arial"/>
          <w:color w:val="0000FF"/>
          <w:sz w:val="20"/>
          <w:szCs w:val="22"/>
          <w:lang w:val="en-GB"/>
        </w:rPr>
        <w:br/>
      </w:r>
    </w:p>
    <w:p w:rsidR="00756CF8" w:rsidRDefault="00756CF8" w:rsidP="00756CF8">
      <w:pPr>
        <w:pStyle w:val="Heading2"/>
        <w:numPr>
          <w:ilvl w:val="1"/>
          <w:numId w:val="4"/>
        </w:numPr>
        <w:spacing w:line="250" w:lineRule="exact"/>
        <w:ind w:left="270" w:right="46" w:hanging="270"/>
        <w:rPr>
          <w:b/>
          <w:bCs/>
          <w:sz w:val="20"/>
          <w:szCs w:val="22"/>
          <w:u w:val="single"/>
        </w:rPr>
      </w:pPr>
      <w:r>
        <w:rPr>
          <w:b/>
          <w:bCs/>
          <w:sz w:val="20"/>
          <w:szCs w:val="22"/>
          <w:u w:val="single"/>
        </w:rPr>
        <w:t>Pojem sestavine pravne norme</w:t>
      </w:r>
    </w:p>
    <w:p w:rsidR="00756CF8" w:rsidRDefault="00756CF8" w:rsidP="00756CF8">
      <w:pPr>
        <w:pStyle w:val="Heading2"/>
        <w:spacing w:line="250" w:lineRule="exact"/>
        <w:ind w:right="46"/>
        <w:rPr>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Pravno pravilo ima po pravni teoriji tri sestavine:</w:t>
      </w:r>
    </w:p>
    <w:p w:rsidR="00756CF8" w:rsidRDefault="00756CF8" w:rsidP="00756CF8">
      <w:pPr>
        <w:pStyle w:val="Heading2"/>
        <w:numPr>
          <w:ilvl w:val="1"/>
          <w:numId w:val="3"/>
        </w:numPr>
        <w:spacing w:line="250" w:lineRule="exact"/>
        <w:ind w:left="270" w:right="46" w:hanging="270"/>
        <w:rPr>
          <w:sz w:val="20"/>
          <w:szCs w:val="18"/>
        </w:rPr>
      </w:pPr>
      <w:r>
        <w:rPr>
          <w:sz w:val="20"/>
          <w:szCs w:val="18"/>
        </w:rPr>
        <w:t>1. HIPOTEZA</w:t>
      </w:r>
    </w:p>
    <w:p w:rsidR="00756CF8" w:rsidRDefault="00756CF8" w:rsidP="00756CF8">
      <w:pPr>
        <w:pStyle w:val="Heading2"/>
        <w:numPr>
          <w:ilvl w:val="1"/>
          <w:numId w:val="3"/>
        </w:numPr>
        <w:spacing w:line="250" w:lineRule="exact"/>
        <w:ind w:left="270" w:right="46" w:hanging="270"/>
        <w:rPr>
          <w:sz w:val="20"/>
          <w:szCs w:val="18"/>
        </w:rPr>
      </w:pPr>
      <w:r>
        <w:rPr>
          <w:sz w:val="20"/>
          <w:szCs w:val="18"/>
        </w:rPr>
        <w:t>2. DISPOZICIJA</w:t>
      </w:r>
    </w:p>
    <w:p w:rsidR="00756CF8" w:rsidRDefault="00756CF8" w:rsidP="00756CF8">
      <w:pPr>
        <w:pStyle w:val="Heading2"/>
        <w:numPr>
          <w:ilvl w:val="1"/>
          <w:numId w:val="3"/>
        </w:numPr>
        <w:spacing w:line="250" w:lineRule="exact"/>
        <w:ind w:left="270" w:right="46" w:hanging="270"/>
        <w:rPr>
          <w:sz w:val="20"/>
          <w:szCs w:val="18"/>
        </w:rPr>
      </w:pPr>
      <w:r>
        <w:rPr>
          <w:sz w:val="20"/>
          <w:szCs w:val="18"/>
        </w:rPr>
        <w:t>3. SANKCIJA</w:t>
      </w:r>
      <w:r>
        <w:rPr>
          <w:sz w:val="20"/>
          <w:szCs w:val="18"/>
        </w:rPr>
        <w:br/>
      </w:r>
    </w:p>
    <w:p w:rsidR="00756CF8" w:rsidRDefault="00756CF8" w:rsidP="00756CF8">
      <w:pPr>
        <w:pStyle w:val="Heading2"/>
        <w:numPr>
          <w:ilvl w:val="1"/>
          <w:numId w:val="3"/>
        </w:numPr>
        <w:spacing w:line="250" w:lineRule="exact"/>
        <w:ind w:left="270" w:right="46" w:hanging="270"/>
        <w:rPr>
          <w:sz w:val="20"/>
          <w:szCs w:val="18"/>
        </w:rPr>
      </w:pPr>
      <w:r>
        <w:rPr>
          <w:sz w:val="20"/>
          <w:szCs w:val="18"/>
        </w:rPr>
        <w:t>pravna norma oz. pravno pravilo je temeljna sestavina prava,</w:t>
      </w:r>
    </w:p>
    <w:p w:rsidR="00756CF8" w:rsidRDefault="00756CF8" w:rsidP="00756CF8">
      <w:pPr>
        <w:pStyle w:val="Heading2"/>
        <w:numPr>
          <w:ilvl w:val="1"/>
          <w:numId w:val="3"/>
        </w:numPr>
        <w:spacing w:line="250" w:lineRule="exact"/>
        <w:ind w:left="270" w:right="46" w:hanging="270"/>
        <w:rPr>
          <w:sz w:val="20"/>
          <w:szCs w:val="18"/>
        </w:rPr>
      </w:pPr>
      <w:r>
        <w:rPr>
          <w:sz w:val="20"/>
          <w:szCs w:val="18"/>
        </w:rPr>
        <w:t>pravna pravila so vsebinsko gledano obvezna, torej zavezujoča pravila družbenega vedenja in ravnanja,</w:t>
      </w:r>
    </w:p>
    <w:p w:rsidR="00756CF8" w:rsidRDefault="00756CF8" w:rsidP="00756CF8">
      <w:pPr>
        <w:pStyle w:val="Heading2"/>
        <w:numPr>
          <w:ilvl w:val="1"/>
          <w:numId w:val="3"/>
        </w:numPr>
        <w:spacing w:line="250" w:lineRule="exact"/>
        <w:ind w:left="270" w:right="46" w:hanging="270"/>
        <w:rPr>
          <w:sz w:val="20"/>
          <w:szCs w:val="18"/>
        </w:rPr>
      </w:pPr>
      <w:r>
        <w:rPr>
          <w:sz w:val="20"/>
          <w:szCs w:val="18"/>
        </w:rPr>
        <w:t xml:space="preserve">pravno pravilo je le izjemoma v celoti strnjeno v eni sami pravni normi, večinoma sta hipoteza in sankcija v enem členu, dispozicija pa je v drugem členu istega predpisa. </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u w:val="single"/>
        </w:rPr>
      </w:pPr>
      <w:r>
        <w:rPr>
          <w:b/>
          <w:bCs/>
          <w:sz w:val="20"/>
          <w:szCs w:val="18"/>
          <w:u w:val="single"/>
        </w:rPr>
        <w:t>Hipoteza</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tista sestavina abstraktnega pravnega pravila, ki opisuje okoliščine oziroma določa dejansko stanje, v katerih se moramo ravnati po dispoziciji,</w:t>
      </w:r>
    </w:p>
    <w:p w:rsidR="00756CF8" w:rsidRDefault="00756CF8" w:rsidP="00756CF8">
      <w:pPr>
        <w:pStyle w:val="Heading2"/>
        <w:numPr>
          <w:ilvl w:val="1"/>
          <w:numId w:val="3"/>
        </w:numPr>
        <w:spacing w:line="250" w:lineRule="exact"/>
        <w:ind w:left="270" w:right="46" w:hanging="270"/>
        <w:rPr>
          <w:sz w:val="20"/>
          <w:szCs w:val="18"/>
        </w:rPr>
      </w:pPr>
      <w:r>
        <w:rPr>
          <w:sz w:val="20"/>
          <w:szCs w:val="18"/>
        </w:rPr>
        <w:t>hipoteza sama nima normativne narave oz. učinkovanja, ampak le določa dejanski položaj in okoliščine, v katerih morajo naslovljenci ravnati po vsebini dispozicije.</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u w:val="single"/>
        </w:rPr>
      </w:pPr>
      <w:r>
        <w:rPr>
          <w:b/>
          <w:bCs/>
          <w:sz w:val="20"/>
          <w:szCs w:val="18"/>
          <w:u w:val="single"/>
        </w:rPr>
        <w:t>Dispozicija</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bistveni del pravnega pravila;</w:t>
      </w:r>
    </w:p>
    <w:p w:rsidR="00756CF8" w:rsidRDefault="00756CF8" w:rsidP="00756CF8">
      <w:pPr>
        <w:pStyle w:val="Heading2"/>
        <w:numPr>
          <w:ilvl w:val="1"/>
          <w:numId w:val="3"/>
        </w:numPr>
        <w:spacing w:line="250" w:lineRule="exact"/>
        <w:ind w:left="270" w:right="46" w:hanging="270"/>
        <w:rPr>
          <w:sz w:val="20"/>
          <w:szCs w:val="18"/>
        </w:rPr>
      </w:pPr>
      <w:r>
        <w:rPr>
          <w:sz w:val="20"/>
          <w:szCs w:val="18"/>
        </w:rPr>
        <w:t>z njo so določa osebe in način, kako morajo ravnati oz. se obnašati,</w:t>
      </w:r>
    </w:p>
    <w:p w:rsidR="00756CF8" w:rsidRDefault="00756CF8" w:rsidP="00756CF8">
      <w:pPr>
        <w:pStyle w:val="Heading2"/>
        <w:numPr>
          <w:ilvl w:val="1"/>
          <w:numId w:val="3"/>
        </w:numPr>
        <w:spacing w:line="250" w:lineRule="exact"/>
        <w:ind w:left="270" w:right="46" w:hanging="270"/>
        <w:rPr>
          <w:sz w:val="20"/>
          <w:szCs w:val="18"/>
        </w:rPr>
      </w:pPr>
      <w:r>
        <w:rPr>
          <w:sz w:val="20"/>
          <w:szCs w:val="18"/>
        </w:rPr>
        <w:t xml:space="preserve">po načinu, kako je v dispoziciji pravnega pravila določeno ravnanje subjektov, razlikujemo tri vrste dispozicij: </w:t>
      </w:r>
    </w:p>
    <w:p w:rsidR="00756CF8" w:rsidRDefault="00756CF8" w:rsidP="00756CF8">
      <w:pPr>
        <w:spacing w:line="250" w:lineRule="exact"/>
        <w:ind w:right="46"/>
        <w:rPr>
          <w:rFonts w:ascii="Arial" w:hAnsi="Arial" w:cs="Arial"/>
          <w:sz w:val="20"/>
        </w:rPr>
      </w:pPr>
    </w:p>
    <w:p w:rsidR="00756CF8" w:rsidRDefault="00756CF8" w:rsidP="00756CF8">
      <w:pPr>
        <w:pStyle w:val="Heading3"/>
        <w:numPr>
          <w:ilvl w:val="2"/>
          <w:numId w:val="2"/>
        </w:numPr>
        <w:spacing w:line="250" w:lineRule="exact"/>
        <w:ind w:left="585" w:right="46" w:hanging="225"/>
        <w:rPr>
          <w:b/>
          <w:bCs/>
          <w:sz w:val="20"/>
          <w:szCs w:val="18"/>
        </w:rPr>
      </w:pPr>
      <w:r>
        <w:rPr>
          <w:b/>
          <w:bCs/>
          <w:sz w:val="20"/>
          <w:szCs w:val="18"/>
        </w:rPr>
        <w:t>a) zapovedi</w:t>
      </w:r>
    </w:p>
    <w:p w:rsidR="00756CF8" w:rsidRDefault="00756CF8" w:rsidP="00756CF8">
      <w:pPr>
        <w:pStyle w:val="Heading3"/>
        <w:numPr>
          <w:ilvl w:val="2"/>
          <w:numId w:val="2"/>
        </w:numPr>
        <w:spacing w:line="250" w:lineRule="exact"/>
        <w:ind w:left="585" w:right="46" w:hanging="225"/>
        <w:rPr>
          <w:sz w:val="20"/>
          <w:szCs w:val="18"/>
        </w:rPr>
      </w:pPr>
      <w:r>
        <w:rPr>
          <w:sz w:val="20"/>
          <w:szCs w:val="18"/>
        </w:rPr>
        <w:t xml:space="preserve">naslovniku ukazujejo, naj nekaj stori in velikokrat tudi opredeljujejo, kako naj nekaj stori, </w:t>
      </w:r>
    </w:p>
    <w:p w:rsidR="00756CF8" w:rsidRDefault="00756CF8" w:rsidP="00756CF8">
      <w:pPr>
        <w:pStyle w:val="Heading3"/>
        <w:numPr>
          <w:ilvl w:val="2"/>
          <w:numId w:val="2"/>
        </w:numPr>
        <w:spacing w:line="250" w:lineRule="exact"/>
        <w:ind w:left="585" w:right="46" w:hanging="225"/>
        <w:rPr>
          <w:sz w:val="20"/>
          <w:szCs w:val="18"/>
        </w:rPr>
      </w:pPr>
      <w:r>
        <w:rPr>
          <w:sz w:val="20"/>
          <w:szCs w:val="18"/>
        </w:rPr>
        <w:t>terjajo predvsem dejavno ravnanje, hkrati pa naslovnika tudi jasno napotujejo, v kateri smeri naj deluje.</w:t>
      </w:r>
    </w:p>
    <w:p w:rsidR="00756CF8" w:rsidRDefault="00756CF8" w:rsidP="00756CF8">
      <w:pPr>
        <w:pStyle w:val="Heading4"/>
        <w:numPr>
          <w:ilvl w:val="3"/>
          <w:numId w:val="5"/>
        </w:numPr>
        <w:spacing w:line="250" w:lineRule="exact"/>
        <w:ind w:left="900" w:right="46" w:hanging="180"/>
        <w:rPr>
          <w:i/>
          <w:iCs/>
          <w:szCs w:val="18"/>
        </w:rPr>
      </w:pPr>
      <w:r>
        <w:rPr>
          <w:i/>
          <w:iCs/>
          <w:szCs w:val="18"/>
        </w:rPr>
        <w:t>123. člen ZZZDR: “Starši so dolžni preživljati svoje otroke; če se redno šolajo, so starši dolžni preživljati svoje otroke tudi po doseženi polnoletnosti.”</w:t>
      </w:r>
    </w:p>
    <w:p w:rsidR="00756CF8" w:rsidRDefault="00756CF8" w:rsidP="00756CF8">
      <w:pPr>
        <w:spacing w:line="250" w:lineRule="exact"/>
        <w:ind w:right="46"/>
        <w:rPr>
          <w:rFonts w:ascii="Arial" w:hAnsi="Arial" w:cs="Arial"/>
          <w:sz w:val="20"/>
          <w:szCs w:val="18"/>
        </w:rPr>
      </w:pPr>
    </w:p>
    <w:p w:rsidR="00756CF8" w:rsidRDefault="00756CF8" w:rsidP="00756CF8">
      <w:pPr>
        <w:pStyle w:val="Heading3"/>
        <w:numPr>
          <w:ilvl w:val="2"/>
          <w:numId w:val="2"/>
        </w:numPr>
        <w:spacing w:line="250" w:lineRule="exact"/>
        <w:ind w:left="585" w:right="46" w:hanging="225"/>
        <w:rPr>
          <w:b/>
          <w:bCs/>
          <w:sz w:val="20"/>
          <w:szCs w:val="18"/>
        </w:rPr>
      </w:pPr>
      <w:r>
        <w:rPr>
          <w:b/>
          <w:bCs/>
          <w:sz w:val="20"/>
          <w:szCs w:val="18"/>
        </w:rPr>
        <w:t>b) prepovedi</w:t>
      </w:r>
    </w:p>
    <w:p w:rsidR="00756CF8" w:rsidRDefault="00756CF8" w:rsidP="00756CF8">
      <w:pPr>
        <w:pStyle w:val="Heading3"/>
        <w:numPr>
          <w:ilvl w:val="2"/>
          <w:numId w:val="2"/>
        </w:numPr>
        <w:spacing w:line="250" w:lineRule="exact"/>
        <w:ind w:left="585" w:right="46" w:hanging="225"/>
        <w:rPr>
          <w:sz w:val="20"/>
          <w:szCs w:val="18"/>
        </w:rPr>
      </w:pPr>
      <w:r>
        <w:rPr>
          <w:sz w:val="20"/>
          <w:szCs w:val="18"/>
        </w:rPr>
        <w:t>subjektom prepovedujejo določeno ravnanje in njih zahtevajo, naj ne ravnajo na prepovedan način, ali pa določajo, naj se subjekti vzdržijo takšnega ali drugačnega, vendar vedno že vnaprej prepovedanega ravnanja</w:t>
      </w:r>
    </w:p>
    <w:p w:rsidR="00756CF8" w:rsidRDefault="00756CF8" w:rsidP="00756CF8">
      <w:pPr>
        <w:pStyle w:val="Heading4"/>
        <w:numPr>
          <w:ilvl w:val="3"/>
          <w:numId w:val="5"/>
        </w:numPr>
        <w:spacing w:line="250" w:lineRule="exact"/>
        <w:ind w:left="900" w:right="46" w:hanging="180"/>
        <w:rPr>
          <w:i/>
          <w:iCs/>
          <w:szCs w:val="18"/>
        </w:rPr>
      </w:pPr>
      <w:r>
        <w:rPr>
          <w:i/>
          <w:iCs/>
          <w:szCs w:val="18"/>
        </w:rPr>
        <w:t>16. člen ZOR (Prepoved povzročanja škode): “Vsak je dolžan vzdržati se ravnanja, s katerim bi utegnil drugemu povzročiti škodo.”</w:t>
      </w:r>
    </w:p>
    <w:p w:rsidR="00756CF8" w:rsidRDefault="00756CF8" w:rsidP="00756CF8">
      <w:pPr>
        <w:pStyle w:val="Heading3"/>
        <w:spacing w:line="250" w:lineRule="exact"/>
        <w:ind w:right="46"/>
        <w:rPr>
          <w:sz w:val="20"/>
          <w:szCs w:val="18"/>
        </w:rPr>
      </w:pPr>
    </w:p>
    <w:p w:rsidR="00756CF8" w:rsidRDefault="00756CF8" w:rsidP="00756CF8">
      <w:pPr>
        <w:pStyle w:val="Heading3"/>
        <w:numPr>
          <w:ilvl w:val="2"/>
          <w:numId w:val="2"/>
        </w:numPr>
        <w:spacing w:line="250" w:lineRule="exact"/>
        <w:ind w:left="585" w:right="46" w:hanging="225"/>
        <w:rPr>
          <w:sz w:val="20"/>
          <w:szCs w:val="18"/>
        </w:rPr>
      </w:pPr>
    </w:p>
    <w:p w:rsidR="00756CF8" w:rsidRDefault="00756CF8" w:rsidP="00756CF8">
      <w:pPr>
        <w:pStyle w:val="Heading3"/>
        <w:numPr>
          <w:ilvl w:val="2"/>
          <w:numId w:val="2"/>
        </w:numPr>
        <w:spacing w:line="250" w:lineRule="exact"/>
        <w:ind w:left="585" w:right="46" w:hanging="225"/>
        <w:rPr>
          <w:sz w:val="20"/>
          <w:szCs w:val="18"/>
        </w:rPr>
      </w:pPr>
    </w:p>
    <w:p w:rsidR="00756CF8" w:rsidRDefault="00756CF8" w:rsidP="00756CF8">
      <w:pPr>
        <w:pStyle w:val="Heading3"/>
        <w:numPr>
          <w:ilvl w:val="2"/>
          <w:numId w:val="2"/>
        </w:numPr>
        <w:spacing w:line="250" w:lineRule="exact"/>
        <w:ind w:left="585" w:right="46" w:hanging="225"/>
        <w:rPr>
          <w:b/>
          <w:bCs/>
          <w:sz w:val="20"/>
          <w:szCs w:val="18"/>
        </w:rPr>
      </w:pPr>
      <w:r>
        <w:rPr>
          <w:b/>
          <w:bCs/>
          <w:sz w:val="20"/>
          <w:szCs w:val="18"/>
        </w:rPr>
        <w:t>c) dovoljenja</w:t>
      </w:r>
    </w:p>
    <w:p w:rsidR="00756CF8" w:rsidRDefault="00756CF8" w:rsidP="00756CF8">
      <w:pPr>
        <w:pStyle w:val="Heading3"/>
        <w:numPr>
          <w:ilvl w:val="2"/>
          <w:numId w:val="2"/>
        </w:numPr>
        <w:spacing w:line="250" w:lineRule="exact"/>
        <w:ind w:left="585" w:right="46" w:hanging="225"/>
        <w:rPr>
          <w:sz w:val="20"/>
          <w:szCs w:val="18"/>
        </w:rPr>
      </w:pPr>
      <w:r>
        <w:rPr>
          <w:sz w:val="20"/>
          <w:szCs w:val="18"/>
        </w:rPr>
        <w:t>pooblaščajo subjekte za določeno ravnanje, hkrati pa določenega ravnanja niti ne zapovedujejo in ne prepovedujejo</w:t>
      </w:r>
    </w:p>
    <w:p w:rsidR="00756CF8" w:rsidRDefault="00756CF8" w:rsidP="00756CF8">
      <w:pPr>
        <w:pStyle w:val="Heading4"/>
        <w:numPr>
          <w:ilvl w:val="3"/>
          <w:numId w:val="5"/>
        </w:numPr>
        <w:spacing w:line="250" w:lineRule="exact"/>
        <w:ind w:left="900" w:right="46" w:hanging="180"/>
        <w:rPr>
          <w:i/>
          <w:iCs/>
          <w:szCs w:val="18"/>
        </w:rPr>
      </w:pPr>
      <w:r>
        <w:rPr>
          <w:i/>
          <w:iCs/>
          <w:szCs w:val="18"/>
        </w:rPr>
        <w:t>45. člen ZZZDR (Pravice in dolžnosti zakoncev): Zakonca svobodno odločata o rojstvu otrok. Do otrok imata enake pravice in dolžnosti.</w:t>
      </w:r>
    </w:p>
    <w:p w:rsidR="00756CF8" w:rsidRDefault="00756CF8" w:rsidP="00756CF8">
      <w:pPr>
        <w:pStyle w:val="Heading1"/>
        <w:spacing w:line="250" w:lineRule="exact"/>
        <w:ind w:left="0" w:right="46" w:firstLine="0"/>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rPr>
      </w:pPr>
    </w:p>
    <w:p w:rsidR="00756CF8" w:rsidRDefault="00756CF8" w:rsidP="00756CF8">
      <w:pPr>
        <w:pStyle w:val="Heading2"/>
        <w:numPr>
          <w:ilvl w:val="1"/>
          <w:numId w:val="3"/>
        </w:numPr>
        <w:spacing w:line="250" w:lineRule="exact"/>
        <w:ind w:left="270" w:right="46" w:hanging="270"/>
        <w:rPr>
          <w:b/>
          <w:bCs/>
          <w:sz w:val="20"/>
          <w:szCs w:val="18"/>
          <w:u w:val="single"/>
        </w:rPr>
      </w:pPr>
      <w:r>
        <w:rPr>
          <w:b/>
          <w:bCs/>
          <w:sz w:val="20"/>
          <w:szCs w:val="18"/>
          <w:u w:val="single"/>
        </w:rPr>
        <w:t>Sankcija</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del pravnega pravila, ki določa, kakšne bodo pravne posledice, če naslovljenec pravne norme ne ravna v skladu z zapovedjo, prepovedjo oz. napotilom, ki je določeno v dispoziciji,</w:t>
      </w:r>
    </w:p>
    <w:p w:rsidR="00756CF8" w:rsidRDefault="00756CF8" w:rsidP="00756CF8">
      <w:pPr>
        <w:pStyle w:val="Heading2"/>
        <w:numPr>
          <w:ilvl w:val="1"/>
          <w:numId w:val="3"/>
        </w:numPr>
        <w:spacing w:line="250" w:lineRule="exact"/>
        <w:ind w:left="270" w:right="46" w:hanging="270"/>
        <w:rPr>
          <w:sz w:val="20"/>
          <w:szCs w:val="18"/>
        </w:rPr>
      </w:pPr>
      <w:r>
        <w:rPr>
          <w:sz w:val="20"/>
          <w:szCs w:val="18"/>
        </w:rPr>
        <w:lastRenderedPageBreak/>
        <w:t>uporabi se le, če se naslovnik ne ravna po dispoziciji,</w:t>
      </w:r>
    </w:p>
    <w:p w:rsidR="00756CF8" w:rsidRDefault="00756CF8" w:rsidP="00756CF8">
      <w:pPr>
        <w:pStyle w:val="Heading2"/>
        <w:numPr>
          <w:ilvl w:val="1"/>
          <w:numId w:val="3"/>
        </w:numPr>
        <w:spacing w:line="250" w:lineRule="exact"/>
        <w:ind w:left="270" w:right="46" w:hanging="270"/>
        <w:rPr>
          <w:sz w:val="20"/>
          <w:szCs w:val="18"/>
        </w:rPr>
      </w:pPr>
      <w:r>
        <w:rPr>
          <w:sz w:val="20"/>
          <w:szCs w:val="18"/>
        </w:rPr>
        <w:t>sankcija mora biti zaradi pravne varnosti naslovnikov vnaprej določena in predpisana.</w:t>
      </w:r>
      <w:r>
        <w:rPr>
          <w:sz w:val="20"/>
          <w:szCs w:val="18"/>
        </w:rPr>
        <w:br/>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rPr>
      </w:pPr>
      <w:r>
        <w:rPr>
          <w:b/>
          <w:bCs/>
          <w:sz w:val="20"/>
          <w:szCs w:val="18"/>
        </w:rPr>
        <w:t>Primer pravne norme</w:t>
      </w:r>
    </w:p>
    <w:p w:rsidR="00756CF8" w:rsidRDefault="00756CF8" w:rsidP="00756CF8">
      <w:pPr>
        <w:pStyle w:val="Heading2"/>
        <w:numPr>
          <w:ilvl w:val="1"/>
          <w:numId w:val="3"/>
        </w:numPr>
        <w:spacing w:line="250" w:lineRule="exact"/>
        <w:ind w:left="270" w:right="46" w:hanging="270"/>
        <w:rPr>
          <w:sz w:val="20"/>
          <w:szCs w:val="18"/>
        </w:rPr>
      </w:pPr>
      <w:r>
        <w:rPr>
          <w:sz w:val="20"/>
          <w:szCs w:val="18"/>
        </w:rPr>
        <w:t>“Kdor brez nevarnosti zase ne pomaga nekomu, čigar življenje in zdravje je očitno ogroženo, odgovarja za škodo, ki iz tega nastane, če bi jo glede na okoliščine primera moral predvideti.”</w:t>
      </w:r>
    </w:p>
    <w:p w:rsidR="00756CF8" w:rsidRDefault="00756CF8" w:rsidP="00756CF8">
      <w:pPr>
        <w:pStyle w:val="Heading2"/>
        <w:numPr>
          <w:ilvl w:val="1"/>
          <w:numId w:val="3"/>
        </w:numPr>
        <w:spacing w:line="250" w:lineRule="exact"/>
        <w:ind w:left="270" w:right="46" w:hanging="270"/>
        <w:rPr>
          <w:sz w:val="20"/>
          <w:szCs w:val="18"/>
        </w:rPr>
      </w:pPr>
      <w:r>
        <w:rPr>
          <w:b/>
          <w:bCs/>
          <w:sz w:val="20"/>
          <w:szCs w:val="18"/>
        </w:rPr>
        <w:t>Hipoteza</w:t>
      </w:r>
      <w:r>
        <w:rPr>
          <w:sz w:val="20"/>
          <w:szCs w:val="18"/>
        </w:rPr>
        <w:t>: obstoj dejanske situacije, v kateri je življenje ali zdravje nekoga ogroženo, nastanek škode,</w:t>
      </w:r>
    </w:p>
    <w:p w:rsidR="00756CF8" w:rsidRDefault="00756CF8" w:rsidP="00756CF8">
      <w:pPr>
        <w:pStyle w:val="Heading2"/>
        <w:numPr>
          <w:ilvl w:val="1"/>
          <w:numId w:val="3"/>
        </w:numPr>
        <w:spacing w:line="250" w:lineRule="exact"/>
        <w:ind w:left="270" w:right="46" w:hanging="270"/>
        <w:rPr>
          <w:sz w:val="20"/>
          <w:szCs w:val="18"/>
        </w:rPr>
      </w:pPr>
      <w:r>
        <w:rPr>
          <w:b/>
          <w:bCs/>
          <w:sz w:val="20"/>
          <w:szCs w:val="18"/>
        </w:rPr>
        <w:t>Dispozicija</w:t>
      </w:r>
      <w:r>
        <w:rPr>
          <w:sz w:val="20"/>
          <w:szCs w:val="18"/>
        </w:rPr>
        <w:t>: zapoved: moraš pomagati !!!</w:t>
      </w:r>
    </w:p>
    <w:p w:rsidR="00756CF8" w:rsidRDefault="00756CF8" w:rsidP="00756CF8">
      <w:pPr>
        <w:pStyle w:val="Heading2"/>
        <w:numPr>
          <w:ilvl w:val="1"/>
          <w:numId w:val="3"/>
        </w:numPr>
        <w:spacing w:line="250" w:lineRule="exact"/>
        <w:ind w:left="270" w:right="46" w:hanging="270"/>
        <w:rPr>
          <w:sz w:val="20"/>
          <w:szCs w:val="18"/>
        </w:rPr>
      </w:pPr>
      <w:r>
        <w:rPr>
          <w:b/>
          <w:bCs/>
          <w:sz w:val="20"/>
          <w:szCs w:val="18"/>
        </w:rPr>
        <w:t>Sankcija</w:t>
      </w:r>
      <w:r>
        <w:rPr>
          <w:sz w:val="20"/>
          <w:szCs w:val="18"/>
        </w:rPr>
        <w:t>: če ne pomagaš, si odgovoren za škodo, ki bi jo moral predvideti.</w:t>
      </w:r>
    </w:p>
    <w:p w:rsidR="00756CF8" w:rsidRDefault="00756CF8" w:rsidP="00756CF8">
      <w:pPr>
        <w:pStyle w:val="Heading1"/>
        <w:spacing w:line="250" w:lineRule="exact"/>
        <w:ind w:left="0" w:right="46" w:firstLine="0"/>
        <w:rPr>
          <w:rFonts w:ascii="Arial" w:hAnsi="Arial" w:cs="Arial"/>
          <w:sz w:val="20"/>
          <w:szCs w:val="18"/>
        </w:rPr>
      </w:pPr>
    </w:p>
    <w:p w:rsidR="00756CF8" w:rsidRDefault="00756CF8" w:rsidP="00756CF8">
      <w:pPr>
        <w:spacing w:line="250" w:lineRule="exact"/>
        <w:ind w:right="46"/>
        <w:rPr>
          <w:rFonts w:ascii="Arial" w:hAnsi="Arial" w:cs="Arial"/>
          <w:sz w:val="20"/>
        </w:rPr>
      </w:pPr>
    </w:p>
    <w:p w:rsidR="00756CF8" w:rsidRDefault="00756CF8" w:rsidP="00756CF8">
      <w:pPr>
        <w:pStyle w:val="Heading2"/>
        <w:numPr>
          <w:ilvl w:val="1"/>
          <w:numId w:val="4"/>
        </w:numPr>
        <w:spacing w:line="250" w:lineRule="exact"/>
        <w:ind w:left="270" w:right="46" w:hanging="270"/>
        <w:rPr>
          <w:b/>
          <w:bCs/>
          <w:sz w:val="20"/>
          <w:szCs w:val="22"/>
        </w:rPr>
      </w:pPr>
      <w:r>
        <w:rPr>
          <w:b/>
          <w:bCs/>
          <w:sz w:val="20"/>
          <w:szCs w:val="22"/>
        </w:rPr>
        <w:t>Dispozitivna in prisilna pravna pravila</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delitev glede na učinek pravnega pravila,</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u w:val="single"/>
        </w:rPr>
      </w:pPr>
      <w:r>
        <w:rPr>
          <w:b/>
          <w:bCs/>
          <w:sz w:val="20"/>
          <w:szCs w:val="18"/>
          <w:u w:val="single"/>
        </w:rPr>
        <w:t>Dispozitivna pravna pravila</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so tista pravila, pri katerih se lahko subjekti odločajo, ali bodo ravnali v skladu z dispozicijo pravne norme ali pa bodo sami oblikovali, določili in izbrali drugačno pravno normo za svoje ravnanje,</w:t>
      </w:r>
    </w:p>
    <w:p w:rsidR="00756CF8" w:rsidRDefault="00756CF8" w:rsidP="00756CF8">
      <w:pPr>
        <w:pStyle w:val="Heading2"/>
        <w:numPr>
          <w:ilvl w:val="1"/>
          <w:numId w:val="3"/>
        </w:numPr>
        <w:spacing w:line="250" w:lineRule="exact"/>
        <w:ind w:left="270" w:right="46" w:hanging="270"/>
        <w:rPr>
          <w:sz w:val="20"/>
          <w:szCs w:val="18"/>
        </w:rPr>
      </w:pPr>
      <w:r>
        <w:rPr>
          <w:sz w:val="20"/>
          <w:szCs w:val="18"/>
        </w:rPr>
        <w:t xml:space="preserve">taka možnost izhaja običajno že iz načel posameznega zakona, </w:t>
      </w:r>
    </w:p>
    <w:p w:rsidR="00756CF8" w:rsidRDefault="00756CF8" w:rsidP="00756CF8">
      <w:pPr>
        <w:pStyle w:val="Heading3"/>
        <w:numPr>
          <w:ilvl w:val="2"/>
          <w:numId w:val="6"/>
        </w:numPr>
        <w:spacing w:line="250" w:lineRule="exact"/>
        <w:ind w:left="585" w:right="46" w:hanging="225"/>
        <w:rPr>
          <w:sz w:val="20"/>
          <w:szCs w:val="18"/>
        </w:rPr>
      </w:pPr>
      <w:r>
        <w:rPr>
          <w:sz w:val="20"/>
          <w:szCs w:val="18"/>
        </w:rPr>
        <w:t>2.č.OZ: “Udeleženci lahko uredijo svoje obligacijsko razmerje drugače, kot je določeno v tem zakonu, če iz posamezne določbe tega zakona ali iz njenega smisla ne izhaja kaj drugega.”</w:t>
      </w:r>
    </w:p>
    <w:p w:rsidR="00756CF8" w:rsidRDefault="00756CF8" w:rsidP="00756CF8">
      <w:pPr>
        <w:pStyle w:val="Heading3"/>
        <w:numPr>
          <w:ilvl w:val="2"/>
          <w:numId w:val="6"/>
        </w:numPr>
        <w:spacing w:line="250" w:lineRule="exact"/>
        <w:ind w:left="585" w:right="46" w:hanging="225"/>
        <w:rPr>
          <w:sz w:val="20"/>
          <w:szCs w:val="18"/>
        </w:rPr>
      </w:pPr>
      <w:proofErr w:type="spellStart"/>
      <w:r>
        <w:rPr>
          <w:sz w:val="20"/>
          <w:szCs w:val="18"/>
        </w:rPr>
        <w:t>899.č.OZ</w:t>
      </w:r>
      <w:proofErr w:type="spellEnd"/>
      <w:r>
        <w:rPr>
          <w:sz w:val="20"/>
          <w:szCs w:val="18"/>
        </w:rPr>
        <w:t xml:space="preserve"> (Pogodba o organiziranju potovanja): “Če ni drugače dogovorjeno, sme potnik določiti drugega, da namesto njega izkoristi dogovorjene storitve, pogoj pa je, da ta zadovoljuje posebne zahteve, ki so predvidene za določeno potovanje, in da potnik povrne organizatorju potovanja stroške, ki jih ima z zamenjavo.”</w:t>
      </w:r>
    </w:p>
    <w:p w:rsidR="00756CF8" w:rsidRDefault="00756CF8" w:rsidP="00756CF8">
      <w:pPr>
        <w:pStyle w:val="Heading3"/>
        <w:numPr>
          <w:ilvl w:val="2"/>
          <w:numId w:val="6"/>
        </w:numPr>
        <w:spacing w:line="250" w:lineRule="exact"/>
        <w:ind w:left="585" w:right="46" w:hanging="225"/>
        <w:rPr>
          <w:sz w:val="20"/>
          <w:szCs w:val="18"/>
        </w:rPr>
      </w:pPr>
      <w:proofErr w:type="spellStart"/>
      <w:r>
        <w:rPr>
          <w:sz w:val="20"/>
          <w:szCs w:val="18"/>
        </w:rPr>
        <w:t>81.č.ZGD</w:t>
      </w:r>
      <w:proofErr w:type="spellEnd"/>
      <w:r>
        <w:rPr>
          <w:sz w:val="20"/>
          <w:szCs w:val="18"/>
        </w:rPr>
        <w:t xml:space="preserve"> (Vložki v družbo pri d.n.o.): “Če ni drugače dogovorjeno, morajo družbeniki vplačati enake vložke.”</w:t>
      </w:r>
    </w:p>
    <w:p w:rsidR="00756CF8" w:rsidRDefault="00756CF8" w:rsidP="00756CF8">
      <w:pPr>
        <w:pStyle w:val="Heading1"/>
        <w:spacing w:line="250" w:lineRule="exact"/>
        <w:ind w:left="0" w:right="46" w:firstLine="0"/>
        <w:rPr>
          <w:rFonts w:ascii="Arial" w:hAnsi="Arial" w:cs="Arial"/>
          <w:sz w:val="20"/>
          <w:szCs w:val="18"/>
        </w:rPr>
      </w:pPr>
    </w:p>
    <w:p w:rsidR="00756CF8" w:rsidRDefault="00756CF8" w:rsidP="00756CF8">
      <w:pPr>
        <w:ind w:right="46"/>
        <w:rPr>
          <w:rFonts w:ascii="Arial" w:hAnsi="Arial" w:cs="Arial"/>
          <w:u w:val="single"/>
        </w:rPr>
      </w:pPr>
    </w:p>
    <w:p w:rsidR="00756CF8" w:rsidRDefault="00756CF8" w:rsidP="00756CF8">
      <w:pPr>
        <w:pStyle w:val="Heading2"/>
        <w:numPr>
          <w:ilvl w:val="1"/>
          <w:numId w:val="3"/>
        </w:numPr>
        <w:spacing w:line="250" w:lineRule="exact"/>
        <w:ind w:left="270" w:right="46" w:hanging="270"/>
        <w:rPr>
          <w:b/>
          <w:bCs/>
          <w:sz w:val="20"/>
          <w:szCs w:val="18"/>
        </w:rPr>
      </w:pPr>
      <w:r>
        <w:rPr>
          <w:b/>
          <w:bCs/>
          <w:sz w:val="20"/>
          <w:szCs w:val="18"/>
          <w:u w:val="single"/>
        </w:rPr>
        <w:t>Prisilna (</w:t>
      </w:r>
      <w:proofErr w:type="spellStart"/>
      <w:r>
        <w:rPr>
          <w:b/>
          <w:bCs/>
          <w:sz w:val="20"/>
          <w:szCs w:val="18"/>
          <w:u w:val="single"/>
        </w:rPr>
        <w:t>kogentna</w:t>
      </w:r>
      <w:proofErr w:type="spellEnd"/>
      <w:r>
        <w:rPr>
          <w:b/>
          <w:bCs/>
          <w:sz w:val="20"/>
          <w:szCs w:val="18"/>
          <w:u w:val="single"/>
        </w:rPr>
        <w:t>) pravna pravila</w:t>
      </w:r>
      <w:r>
        <w:rPr>
          <w:b/>
          <w:bCs/>
          <w:sz w:val="20"/>
          <w:szCs w:val="18"/>
        </w:rPr>
        <w:t xml:space="preserve"> </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pa vsako drugačno ravnanje, kot je določeno z dispozicijo pravnega pravila, pomeni kršitev pravnega pravila,</w:t>
      </w:r>
    </w:p>
    <w:p w:rsidR="00756CF8" w:rsidRDefault="00756CF8" w:rsidP="00756CF8">
      <w:pPr>
        <w:pStyle w:val="Heading2"/>
        <w:numPr>
          <w:ilvl w:val="1"/>
          <w:numId w:val="3"/>
        </w:numPr>
        <w:spacing w:line="250" w:lineRule="exact"/>
        <w:ind w:left="270" w:right="46" w:hanging="270"/>
        <w:rPr>
          <w:sz w:val="20"/>
          <w:szCs w:val="18"/>
        </w:rPr>
      </w:pPr>
      <w:r>
        <w:rPr>
          <w:sz w:val="20"/>
          <w:szCs w:val="18"/>
        </w:rPr>
        <w:t>pri takih pravnih pravilih naslovniki ne morejo dispozicije nadomestiti z drugačnim pravilom ravnanja</w:t>
      </w:r>
    </w:p>
    <w:p w:rsidR="00756CF8" w:rsidRDefault="00756CF8" w:rsidP="00756CF8">
      <w:pPr>
        <w:pStyle w:val="Heading3"/>
        <w:numPr>
          <w:ilvl w:val="2"/>
          <w:numId w:val="6"/>
        </w:numPr>
        <w:spacing w:line="250" w:lineRule="exact"/>
        <w:ind w:left="585" w:right="46" w:hanging="225"/>
        <w:rPr>
          <w:sz w:val="20"/>
          <w:szCs w:val="18"/>
        </w:rPr>
      </w:pPr>
      <w:proofErr w:type="spellStart"/>
      <w:r>
        <w:rPr>
          <w:sz w:val="20"/>
          <w:szCs w:val="18"/>
        </w:rPr>
        <w:t>101.č.ZGD</w:t>
      </w:r>
      <w:proofErr w:type="spellEnd"/>
      <w:r>
        <w:rPr>
          <w:sz w:val="20"/>
          <w:szCs w:val="18"/>
        </w:rPr>
        <w:t xml:space="preserve"> (Osebna odgovornost družbenikov v d.n.o.): “(1) Za obveznosti družbe subsidiarno odgovarjajo upnikom vsi družbeniki z vsem svojim premoženjem… (2) Drugačen dogovor družbenikov o njihovi odgovornosti proti tretjim osebam je brez pravnega učinka.”</w:t>
      </w:r>
    </w:p>
    <w:p w:rsidR="00756CF8" w:rsidRDefault="00756CF8" w:rsidP="00756CF8">
      <w:pPr>
        <w:pStyle w:val="Heading3"/>
        <w:numPr>
          <w:ilvl w:val="2"/>
          <w:numId w:val="6"/>
        </w:numPr>
        <w:spacing w:line="250" w:lineRule="exact"/>
        <w:ind w:left="585" w:right="46" w:hanging="225"/>
        <w:rPr>
          <w:sz w:val="20"/>
          <w:szCs w:val="18"/>
        </w:rPr>
      </w:pPr>
      <w:proofErr w:type="spellStart"/>
      <w:r>
        <w:rPr>
          <w:sz w:val="20"/>
          <w:szCs w:val="18"/>
        </w:rPr>
        <w:t>172.č.KZ</w:t>
      </w:r>
      <w:proofErr w:type="spellEnd"/>
      <w:r>
        <w:rPr>
          <w:sz w:val="20"/>
          <w:szCs w:val="18"/>
        </w:rPr>
        <w:t xml:space="preserve"> (Opravljanje): “Kdor trdi ali raznaša kaj iz osebnega ali družinskega življenja kakšne osebe, kar lahko škoduje njenemu dobremu imenu, se kaznuje z denarno kaznijo ali zaporom do treh mesecev.”</w:t>
      </w:r>
    </w:p>
    <w:p w:rsidR="00756CF8" w:rsidRDefault="00756CF8" w:rsidP="00756CF8">
      <w:pPr>
        <w:pStyle w:val="Heading3"/>
        <w:numPr>
          <w:ilvl w:val="2"/>
          <w:numId w:val="6"/>
        </w:numPr>
        <w:spacing w:line="250" w:lineRule="exact"/>
        <w:ind w:left="585" w:right="46" w:hanging="225"/>
        <w:rPr>
          <w:sz w:val="20"/>
          <w:szCs w:val="18"/>
        </w:rPr>
      </w:pPr>
      <w:proofErr w:type="spellStart"/>
      <w:r>
        <w:rPr>
          <w:sz w:val="20"/>
          <w:szCs w:val="18"/>
        </w:rPr>
        <w:t>59.č.ZVCP</w:t>
      </w:r>
      <w:proofErr w:type="spellEnd"/>
      <w:r>
        <w:rPr>
          <w:sz w:val="20"/>
          <w:szCs w:val="18"/>
        </w:rPr>
        <w:t xml:space="preserve"> (Označevanje živali ali črede): “(1) Gonič ali vodič živali ali črede mora poskrbeti, da bo čreda ponoči ali v pogojih slabe vidljivosti označena spredaj, zadaj in ob strani z lučmi ali odsevniki. Označbe morajo biti nameščene tako, da jih udeleženci v cestnem prometu, katerim so namenjene, pravočasno opazijo. (2) Z denarno kaznijo 10.000 tolarjev se kaznuje za prekršek gonič, ali vodič živali oz. črede, ki ravna v nasprotju z določbo tega člena.</w:t>
      </w:r>
    </w:p>
    <w:p w:rsidR="00756CF8" w:rsidRDefault="00756CF8" w:rsidP="00756CF8">
      <w:pPr>
        <w:pStyle w:val="Heading1"/>
        <w:spacing w:line="250" w:lineRule="exact"/>
        <w:ind w:left="0" w:right="46" w:firstLine="0"/>
        <w:rPr>
          <w:rFonts w:ascii="Arial" w:hAnsi="Arial" w:cs="Arial"/>
          <w:sz w:val="20"/>
          <w:szCs w:val="18"/>
        </w:rPr>
      </w:pP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4"/>
        </w:numPr>
        <w:spacing w:line="250" w:lineRule="exact"/>
        <w:ind w:left="270" w:right="46" w:hanging="270"/>
        <w:rPr>
          <w:b/>
          <w:bCs/>
          <w:sz w:val="20"/>
          <w:szCs w:val="22"/>
          <w:u w:val="single"/>
        </w:rPr>
      </w:pPr>
      <w:r>
        <w:rPr>
          <w:b/>
          <w:bCs/>
          <w:sz w:val="20"/>
          <w:szCs w:val="22"/>
          <w:u w:val="single"/>
        </w:rPr>
        <w:t xml:space="preserve">Veljavnost pravnih pravil </w:t>
      </w:r>
    </w:p>
    <w:p w:rsidR="00756CF8" w:rsidRDefault="00756CF8" w:rsidP="00756CF8">
      <w:pPr>
        <w:pStyle w:val="Heading2"/>
        <w:spacing w:line="250" w:lineRule="exact"/>
        <w:ind w:right="46"/>
        <w:rPr>
          <w:b/>
          <w:bCs/>
          <w:sz w:val="20"/>
          <w:szCs w:val="18"/>
        </w:rPr>
      </w:pPr>
    </w:p>
    <w:p w:rsidR="00756CF8" w:rsidRDefault="00756CF8" w:rsidP="00756CF8">
      <w:pPr>
        <w:pStyle w:val="Heading2"/>
        <w:numPr>
          <w:ilvl w:val="1"/>
          <w:numId w:val="3"/>
        </w:numPr>
        <w:spacing w:line="250" w:lineRule="exact"/>
        <w:ind w:left="270" w:right="46" w:hanging="270"/>
        <w:rPr>
          <w:b/>
          <w:bCs/>
          <w:sz w:val="20"/>
          <w:szCs w:val="18"/>
        </w:rPr>
      </w:pPr>
      <w:r>
        <w:rPr>
          <w:b/>
          <w:bCs/>
          <w:sz w:val="20"/>
          <w:szCs w:val="18"/>
        </w:rPr>
        <w:t>Prostorska veljavnost pravnih predpisov</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lastRenderedPageBreak/>
        <w:t xml:space="preserve">personalno načelo (ob prehodu iz </w:t>
      </w:r>
      <w:proofErr w:type="spellStart"/>
      <w:r>
        <w:rPr>
          <w:sz w:val="20"/>
          <w:szCs w:val="18"/>
        </w:rPr>
        <w:t>rodovnoplemenske</w:t>
      </w:r>
      <w:proofErr w:type="spellEnd"/>
      <w:r>
        <w:rPr>
          <w:sz w:val="20"/>
          <w:szCs w:val="18"/>
        </w:rPr>
        <w:t xml:space="preserve"> v državno organizacijo je še veljalo načelo, po katerem je vsakdo nosil svoje pravo s seboj)</w:t>
      </w:r>
    </w:p>
    <w:p w:rsidR="00756CF8" w:rsidRDefault="00756CF8" w:rsidP="00756CF8">
      <w:pPr>
        <w:pStyle w:val="Heading2"/>
        <w:numPr>
          <w:ilvl w:val="1"/>
          <w:numId w:val="3"/>
        </w:numPr>
        <w:spacing w:line="250" w:lineRule="exact"/>
        <w:ind w:left="270" w:right="46" w:hanging="270"/>
        <w:rPr>
          <w:sz w:val="20"/>
          <w:szCs w:val="18"/>
        </w:rPr>
      </w:pPr>
      <w:r>
        <w:rPr>
          <w:sz w:val="20"/>
          <w:szCs w:val="18"/>
        </w:rPr>
        <w:t>teritorialno načelo (postopoma je pravo dobilo značaj obveznih, s sredstvi fizičnega prisiljevanja zagotovljenih pravil za družbeno ravnanje, ki so se jim morali pokoravati vsi ljudje, ki so prebivali na ozemlju, na katerega se je raztezala takšna učinkovita oblast; danes so meje obveznosti posameznega pravnega reda določene po ozemeljskem obsegu)</w:t>
      </w:r>
    </w:p>
    <w:p w:rsidR="00756CF8" w:rsidRDefault="00756CF8" w:rsidP="00756CF8">
      <w:pPr>
        <w:pStyle w:val="Heading1"/>
        <w:spacing w:line="250" w:lineRule="exact"/>
        <w:ind w:left="0" w:right="46" w:firstLine="0"/>
        <w:rPr>
          <w:rFonts w:ascii="Arial" w:hAnsi="Arial" w:cs="Arial"/>
          <w:sz w:val="20"/>
          <w:szCs w:val="18"/>
        </w:rPr>
      </w:pPr>
    </w:p>
    <w:p w:rsidR="00756CF8" w:rsidRDefault="00756CF8" w:rsidP="00756CF8">
      <w:pPr>
        <w:ind w:right="46"/>
        <w:rPr>
          <w:rFonts w:ascii="Arial" w:hAnsi="Arial" w:cs="Arial"/>
        </w:rPr>
      </w:pPr>
    </w:p>
    <w:p w:rsidR="00756CF8" w:rsidRDefault="00756CF8" w:rsidP="00756CF8">
      <w:pPr>
        <w:ind w:right="46"/>
        <w:rPr>
          <w:rFonts w:ascii="Arial" w:hAnsi="Arial" w:cs="Arial"/>
        </w:rPr>
      </w:pPr>
    </w:p>
    <w:p w:rsidR="00756CF8" w:rsidRDefault="00756CF8" w:rsidP="00756CF8">
      <w:pPr>
        <w:pStyle w:val="Heading2"/>
        <w:numPr>
          <w:ilvl w:val="1"/>
          <w:numId w:val="3"/>
        </w:numPr>
        <w:spacing w:line="250" w:lineRule="exact"/>
        <w:ind w:left="270" w:right="46" w:hanging="270"/>
        <w:rPr>
          <w:sz w:val="20"/>
          <w:szCs w:val="18"/>
        </w:rPr>
      </w:pPr>
      <w:r>
        <w:rPr>
          <w:b/>
          <w:bCs/>
          <w:sz w:val="20"/>
          <w:szCs w:val="18"/>
        </w:rPr>
        <w:t>Časovna veljavnost pravnih predpisov</w:t>
      </w:r>
      <w:r>
        <w:rPr>
          <w:sz w:val="20"/>
          <w:szCs w:val="18"/>
        </w:rPr>
        <w:t xml:space="preserve"> </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rPr>
      </w:pPr>
      <w:r>
        <w:rPr>
          <w:b/>
          <w:bCs/>
          <w:sz w:val="20"/>
          <w:szCs w:val="18"/>
        </w:rPr>
        <w:t>začetek veljavnosti predpisov</w:t>
      </w:r>
    </w:p>
    <w:p w:rsidR="00756CF8" w:rsidRDefault="00756CF8" w:rsidP="00756CF8">
      <w:pPr>
        <w:pStyle w:val="Heading3"/>
        <w:numPr>
          <w:ilvl w:val="2"/>
          <w:numId w:val="2"/>
        </w:numPr>
        <w:spacing w:line="250" w:lineRule="exact"/>
        <w:ind w:left="585" w:right="46" w:hanging="225"/>
        <w:rPr>
          <w:sz w:val="20"/>
          <w:szCs w:val="18"/>
        </w:rPr>
      </w:pPr>
      <w:r>
        <w:rPr>
          <w:sz w:val="20"/>
          <w:szCs w:val="18"/>
        </w:rPr>
        <w:t xml:space="preserve">zaradi zagotavljanja pravne varnosti (in s tem načela pravne države) pravna pravila veljajo in učinkujejo samo pod pogojem, da so, preden začnejo veljati, objavljena v ustreznem uradnem glasilu, v RS se </w:t>
      </w:r>
      <w:proofErr w:type="spellStart"/>
      <w:r>
        <w:rPr>
          <w:sz w:val="20"/>
          <w:szCs w:val="18"/>
        </w:rPr>
        <w:t>obljavljajo</w:t>
      </w:r>
      <w:proofErr w:type="spellEnd"/>
      <w:r>
        <w:rPr>
          <w:sz w:val="20"/>
          <w:szCs w:val="18"/>
        </w:rPr>
        <w:t xml:space="preserve"> v Uradnem listu RS (posledica objave je </w:t>
      </w:r>
      <w:proofErr w:type="spellStart"/>
      <w:r>
        <w:rPr>
          <w:sz w:val="20"/>
          <w:szCs w:val="18"/>
        </w:rPr>
        <w:t>presumpcija</w:t>
      </w:r>
      <w:proofErr w:type="spellEnd"/>
      <w:r>
        <w:rPr>
          <w:sz w:val="20"/>
          <w:szCs w:val="18"/>
        </w:rPr>
        <w:t xml:space="preserve"> </w:t>
      </w:r>
      <w:proofErr w:type="spellStart"/>
      <w:r>
        <w:rPr>
          <w:sz w:val="20"/>
          <w:szCs w:val="18"/>
        </w:rPr>
        <w:t>iuris</w:t>
      </w:r>
      <w:proofErr w:type="spellEnd"/>
      <w:r>
        <w:rPr>
          <w:sz w:val="20"/>
          <w:szCs w:val="18"/>
        </w:rPr>
        <w:t xml:space="preserve"> et de </w:t>
      </w:r>
      <w:proofErr w:type="spellStart"/>
      <w:r>
        <w:rPr>
          <w:sz w:val="20"/>
          <w:szCs w:val="18"/>
        </w:rPr>
        <w:t>iure</w:t>
      </w:r>
      <w:proofErr w:type="spellEnd"/>
      <w:r>
        <w:rPr>
          <w:sz w:val="20"/>
          <w:szCs w:val="18"/>
        </w:rPr>
        <w:t>, da objavljena pravna pravila vsi poznajo: IGNORANTIA IURIS NOCET),</w:t>
      </w:r>
    </w:p>
    <w:p w:rsidR="00756CF8" w:rsidRDefault="00756CF8" w:rsidP="00756CF8">
      <w:pPr>
        <w:pStyle w:val="Heading3"/>
        <w:numPr>
          <w:ilvl w:val="2"/>
          <w:numId w:val="2"/>
        </w:numPr>
        <w:spacing w:line="250" w:lineRule="exact"/>
        <w:ind w:left="585" w:right="46" w:hanging="225"/>
        <w:rPr>
          <w:sz w:val="20"/>
          <w:szCs w:val="18"/>
        </w:rPr>
      </w:pPr>
      <w:r>
        <w:rPr>
          <w:sz w:val="20"/>
          <w:szCs w:val="18"/>
        </w:rPr>
        <w:t>zakoni in drugi republiški predpisi in splošni akti začnejo praviloma veljati petnajsti dan po objavi (ta rok, ki naj da pravnim subjektom in državnim organom čas, da zakon spoznajo, je VACATIO LEGIS),</w:t>
      </w:r>
    </w:p>
    <w:p w:rsidR="00756CF8" w:rsidRDefault="00756CF8" w:rsidP="00756CF8">
      <w:pPr>
        <w:pStyle w:val="Heading3"/>
        <w:numPr>
          <w:ilvl w:val="2"/>
          <w:numId w:val="2"/>
        </w:numPr>
        <w:spacing w:line="250" w:lineRule="exact"/>
        <w:ind w:left="585" w:right="46" w:hanging="225"/>
        <w:rPr>
          <w:sz w:val="20"/>
          <w:szCs w:val="18"/>
        </w:rPr>
      </w:pPr>
      <w:r>
        <w:rPr>
          <w:sz w:val="20"/>
          <w:szCs w:val="18"/>
        </w:rPr>
        <w:t xml:space="preserve">le izjemoma in samo na podlagi posebej utemeljenih razlogov je lahko določeno, da določen predpis ali akt začne veljati prej (lahko celo istega dne, ko je bil objavljen) ali pozneje kot petnajsti dan po objavi </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rPr>
      </w:pPr>
      <w:r>
        <w:rPr>
          <w:b/>
          <w:bCs/>
          <w:sz w:val="20"/>
          <w:szCs w:val="18"/>
        </w:rPr>
        <w:t xml:space="preserve">prenehanje veljavnosti predpisov </w:t>
      </w:r>
    </w:p>
    <w:p w:rsidR="00756CF8" w:rsidRDefault="00756CF8" w:rsidP="00756CF8">
      <w:pPr>
        <w:pStyle w:val="Heading3"/>
        <w:numPr>
          <w:ilvl w:val="2"/>
          <w:numId w:val="2"/>
        </w:numPr>
        <w:spacing w:line="250" w:lineRule="exact"/>
        <w:ind w:left="585" w:right="46" w:hanging="225"/>
        <w:rPr>
          <w:sz w:val="20"/>
          <w:szCs w:val="18"/>
        </w:rPr>
      </w:pPr>
      <w:r>
        <w:rPr>
          <w:sz w:val="20"/>
          <w:szCs w:val="18"/>
        </w:rPr>
        <w:t>trenutek, ko predpis neha veljati, je lahko določen v predpisu samem,</w:t>
      </w:r>
    </w:p>
    <w:p w:rsidR="00756CF8" w:rsidRDefault="00756CF8" w:rsidP="00756CF8">
      <w:pPr>
        <w:pStyle w:val="Heading3"/>
        <w:numPr>
          <w:ilvl w:val="2"/>
          <w:numId w:val="2"/>
        </w:numPr>
        <w:spacing w:line="250" w:lineRule="exact"/>
        <w:ind w:left="585" w:right="46" w:hanging="225"/>
        <w:rPr>
          <w:sz w:val="20"/>
          <w:szCs w:val="18"/>
        </w:rPr>
      </w:pPr>
      <w:r>
        <w:rPr>
          <w:sz w:val="20"/>
          <w:szCs w:val="18"/>
        </w:rPr>
        <w:t>sicer velja pravilo, da predpis višje pravne veljave vedno lahko razveljavi predpis nižje veljave (npr. ustava razveljavi zakon, zakon uredbo, itd.), ne pa obratno,</w:t>
      </w:r>
    </w:p>
    <w:p w:rsidR="00756CF8" w:rsidRDefault="00756CF8" w:rsidP="00756CF8">
      <w:pPr>
        <w:pStyle w:val="Heading3"/>
        <w:numPr>
          <w:ilvl w:val="2"/>
          <w:numId w:val="2"/>
        </w:numPr>
        <w:spacing w:line="250" w:lineRule="exact"/>
        <w:ind w:left="585" w:right="46" w:hanging="225"/>
        <w:rPr>
          <w:sz w:val="20"/>
          <w:szCs w:val="18"/>
        </w:rPr>
      </w:pPr>
      <w:r>
        <w:rPr>
          <w:sz w:val="20"/>
          <w:szCs w:val="18"/>
        </w:rPr>
        <w:t>za razmerje predpisov enake pravne veljave je treba uporabiti pravilo, da mlajši (pozneje izdani) predpis razveljavi starejšega (</w:t>
      </w:r>
      <w:proofErr w:type="spellStart"/>
      <w:r>
        <w:rPr>
          <w:sz w:val="20"/>
          <w:szCs w:val="18"/>
        </w:rPr>
        <w:t>Lex</w:t>
      </w:r>
      <w:proofErr w:type="spellEnd"/>
      <w:r>
        <w:rPr>
          <w:sz w:val="20"/>
          <w:szCs w:val="18"/>
        </w:rPr>
        <w:t xml:space="preserve"> </w:t>
      </w:r>
      <w:proofErr w:type="spellStart"/>
      <w:r>
        <w:rPr>
          <w:sz w:val="20"/>
          <w:szCs w:val="18"/>
        </w:rPr>
        <w:t>posteriori</w:t>
      </w:r>
      <w:proofErr w:type="spellEnd"/>
      <w:r>
        <w:rPr>
          <w:sz w:val="20"/>
          <w:szCs w:val="18"/>
        </w:rPr>
        <w:t xml:space="preserve"> </w:t>
      </w:r>
      <w:proofErr w:type="spellStart"/>
      <w:r>
        <w:rPr>
          <w:sz w:val="20"/>
          <w:szCs w:val="18"/>
        </w:rPr>
        <w:t>derogat</w:t>
      </w:r>
      <w:proofErr w:type="spellEnd"/>
      <w:r>
        <w:rPr>
          <w:sz w:val="20"/>
          <w:szCs w:val="18"/>
        </w:rPr>
        <w:t xml:space="preserve"> legi priori.)</w:t>
      </w:r>
    </w:p>
    <w:p w:rsidR="00756CF8" w:rsidRDefault="00756CF8" w:rsidP="00756CF8">
      <w:pPr>
        <w:pStyle w:val="Heading1"/>
        <w:spacing w:line="250" w:lineRule="exact"/>
        <w:ind w:left="0" w:right="46" w:firstLine="0"/>
        <w:rPr>
          <w:rFonts w:ascii="Arial" w:hAnsi="Arial" w:cs="Arial"/>
          <w:sz w:val="20"/>
          <w:szCs w:val="18"/>
        </w:rPr>
      </w:pPr>
    </w:p>
    <w:p w:rsidR="00756CF8" w:rsidRDefault="00756CF8" w:rsidP="00756CF8">
      <w:pPr>
        <w:pStyle w:val="Heading2"/>
        <w:numPr>
          <w:ilvl w:val="1"/>
          <w:numId w:val="3"/>
        </w:numPr>
        <w:spacing w:line="250" w:lineRule="exact"/>
        <w:ind w:left="270" w:right="46" w:hanging="270"/>
        <w:rPr>
          <w:b/>
          <w:bCs/>
          <w:sz w:val="20"/>
          <w:szCs w:val="18"/>
        </w:rPr>
      </w:pPr>
      <w:r>
        <w:rPr>
          <w:b/>
          <w:bCs/>
          <w:sz w:val="20"/>
          <w:szCs w:val="18"/>
        </w:rPr>
        <w:t>Prepoved retroaktivnosti (povratne veljave pravnih predpisov)</w:t>
      </w:r>
    </w:p>
    <w:p w:rsidR="00756CF8" w:rsidRDefault="00756CF8" w:rsidP="00756CF8">
      <w:pPr>
        <w:spacing w:line="250" w:lineRule="exact"/>
        <w:ind w:right="46"/>
        <w:rPr>
          <w:rFonts w:ascii="Arial" w:hAnsi="Arial" w:cs="Arial"/>
          <w:sz w:val="20"/>
          <w:szCs w:val="18"/>
        </w:rPr>
      </w:pPr>
    </w:p>
    <w:p w:rsidR="00756CF8" w:rsidRDefault="00756CF8" w:rsidP="00756CF8">
      <w:pPr>
        <w:pStyle w:val="Heading2"/>
        <w:numPr>
          <w:ilvl w:val="1"/>
          <w:numId w:val="3"/>
        </w:numPr>
        <w:spacing w:line="250" w:lineRule="exact"/>
        <w:ind w:left="270" w:right="46" w:hanging="270"/>
        <w:rPr>
          <w:sz w:val="20"/>
          <w:szCs w:val="18"/>
        </w:rPr>
      </w:pPr>
      <w:r>
        <w:rPr>
          <w:sz w:val="20"/>
          <w:szCs w:val="18"/>
        </w:rPr>
        <w:t xml:space="preserve">ker so pravni predpisi po svojem bistvu družbene zapovedi, ki od naslovljencev terjajo obvezno družbeno vedenje in ravnanje, je smiselno, da zapoved neko ravnanje terja za </w:t>
      </w:r>
      <w:r>
        <w:rPr>
          <w:b/>
          <w:bCs/>
          <w:sz w:val="20"/>
          <w:szCs w:val="18"/>
        </w:rPr>
        <w:t>vnaprej</w:t>
      </w:r>
      <w:r>
        <w:rPr>
          <w:sz w:val="20"/>
          <w:szCs w:val="18"/>
        </w:rPr>
        <w:t>, saj je človeško voljo mogoče motivirati zgolj vnaprej,</w:t>
      </w:r>
    </w:p>
    <w:p w:rsidR="00756CF8" w:rsidRDefault="00756CF8" w:rsidP="00756CF8">
      <w:pPr>
        <w:pStyle w:val="Heading2"/>
        <w:numPr>
          <w:ilvl w:val="1"/>
          <w:numId w:val="3"/>
        </w:numPr>
        <w:spacing w:line="250" w:lineRule="exact"/>
        <w:ind w:left="270" w:right="46" w:hanging="270"/>
        <w:rPr>
          <w:sz w:val="20"/>
          <w:szCs w:val="18"/>
        </w:rPr>
      </w:pPr>
      <w:r>
        <w:rPr>
          <w:sz w:val="20"/>
          <w:szCs w:val="18"/>
        </w:rPr>
        <w:t xml:space="preserve">tudi načelo pravne varnosti in zakonitosti terja, da pravni predpisi (organov oblasti) </w:t>
      </w:r>
      <w:r>
        <w:rPr>
          <w:b/>
          <w:bCs/>
          <w:sz w:val="20"/>
          <w:szCs w:val="18"/>
        </w:rPr>
        <w:t>ne morejo imeti učinka za nazaj</w:t>
      </w:r>
      <w:r>
        <w:rPr>
          <w:sz w:val="20"/>
          <w:szCs w:val="18"/>
        </w:rPr>
        <w:t xml:space="preserve">, </w:t>
      </w:r>
    </w:p>
    <w:p w:rsidR="00756CF8" w:rsidRDefault="00756CF8" w:rsidP="00756CF8">
      <w:pPr>
        <w:pStyle w:val="Heading2"/>
        <w:numPr>
          <w:ilvl w:val="1"/>
          <w:numId w:val="3"/>
        </w:numPr>
        <w:spacing w:line="250" w:lineRule="exact"/>
        <w:ind w:left="270" w:right="46" w:hanging="270"/>
        <w:rPr>
          <w:sz w:val="20"/>
          <w:szCs w:val="18"/>
        </w:rPr>
      </w:pPr>
      <w:r>
        <w:rPr>
          <w:sz w:val="20"/>
          <w:szCs w:val="18"/>
        </w:rPr>
        <w:t xml:space="preserve">kljub temu imajo </w:t>
      </w:r>
      <w:r>
        <w:rPr>
          <w:b/>
          <w:bCs/>
          <w:sz w:val="20"/>
          <w:szCs w:val="18"/>
        </w:rPr>
        <w:t>v izjemnih</w:t>
      </w:r>
      <w:r>
        <w:rPr>
          <w:sz w:val="20"/>
          <w:szCs w:val="18"/>
        </w:rPr>
        <w:t xml:space="preserve"> primerih določene pravne norme </w:t>
      </w:r>
      <w:r>
        <w:rPr>
          <w:b/>
          <w:bCs/>
          <w:sz w:val="20"/>
          <w:szCs w:val="18"/>
        </w:rPr>
        <w:t>učinek tudi za nazaj</w:t>
      </w:r>
      <w:r>
        <w:rPr>
          <w:sz w:val="20"/>
          <w:szCs w:val="18"/>
        </w:rPr>
        <w:t>:</w:t>
      </w:r>
    </w:p>
    <w:p w:rsidR="00CB5B30" w:rsidRDefault="00756CF8" w:rsidP="00756CF8">
      <w:r>
        <w:rPr>
          <w:szCs w:val="18"/>
        </w:rPr>
        <w:t>155.č.URS: ”</w:t>
      </w:r>
      <w:proofErr w:type="gramStart"/>
      <w:r>
        <w:rPr>
          <w:szCs w:val="18"/>
        </w:rPr>
        <w:t>(</w:t>
      </w:r>
      <w:proofErr w:type="gramEnd"/>
      <w:r>
        <w:rPr>
          <w:szCs w:val="18"/>
        </w:rPr>
        <w:t xml:space="preserve">1) </w:t>
      </w:r>
      <w:proofErr w:type="spellStart"/>
      <w:r>
        <w:rPr>
          <w:szCs w:val="18"/>
        </w:rPr>
        <w:t>Zakoni</w:t>
      </w:r>
      <w:proofErr w:type="spellEnd"/>
      <w:r>
        <w:rPr>
          <w:szCs w:val="18"/>
        </w:rPr>
        <w:t xml:space="preserve">, </w:t>
      </w:r>
      <w:proofErr w:type="spellStart"/>
      <w:r>
        <w:rPr>
          <w:szCs w:val="18"/>
        </w:rPr>
        <w:t>drugi</w:t>
      </w:r>
      <w:proofErr w:type="spellEnd"/>
      <w:r>
        <w:rPr>
          <w:szCs w:val="18"/>
        </w:rPr>
        <w:t xml:space="preserve"> </w:t>
      </w:r>
      <w:proofErr w:type="spellStart"/>
      <w:r>
        <w:rPr>
          <w:szCs w:val="18"/>
        </w:rPr>
        <w:t>predpisi</w:t>
      </w:r>
      <w:proofErr w:type="spellEnd"/>
      <w:r>
        <w:rPr>
          <w:szCs w:val="18"/>
        </w:rPr>
        <w:t xml:space="preserve"> in </w:t>
      </w:r>
      <w:proofErr w:type="spellStart"/>
      <w:r>
        <w:rPr>
          <w:szCs w:val="18"/>
        </w:rPr>
        <w:t>splošni</w:t>
      </w:r>
      <w:proofErr w:type="spellEnd"/>
      <w:r>
        <w:rPr>
          <w:szCs w:val="18"/>
        </w:rPr>
        <w:t xml:space="preserve"> </w:t>
      </w:r>
      <w:proofErr w:type="spellStart"/>
      <w:r>
        <w:rPr>
          <w:szCs w:val="18"/>
        </w:rPr>
        <w:t>akti</w:t>
      </w:r>
      <w:proofErr w:type="spellEnd"/>
      <w:r>
        <w:rPr>
          <w:szCs w:val="18"/>
        </w:rPr>
        <w:t xml:space="preserve"> ne </w:t>
      </w:r>
      <w:proofErr w:type="spellStart"/>
      <w:r>
        <w:rPr>
          <w:szCs w:val="18"/>
        </w:rPr>
        <w:t>morejo</w:t>
      </w:r>
      <w:proofErr w:type="spellEnd"/>
      <w:r>
        <w:rPr>
          <w:szCs w:val="18"/>
        </w:rPr>
        <w:t xml:space="preserve"> </w:t>
      </w:r>
      <w:proofErr w:type="spellStart"/>
      <w:r>
        <w:rPr>
          <w:szCs w:val="18"/>
        </w:rPr>
        <w:t>imeti</w:t>
      </w:r>
      <w:proofErr w:type="spellEnd"/>
      <w:r>
        <w:rPr>
          <w:szCs w:val="18"/>
        </w:rPr>
        <w:t xml:space="preserve"> </w:t>
      </w:r>
      <w:proofErr w:type="spellStart"/>
      <w:r>
        <w:rPr>
          <w:szCs w:val="18"/>
        </w:rPr>
        <w:t>učinka</w:t>
      </w:r>
      <w:proofErr w:type="spellEnd"/>
      <w:r>
        <w:rPr>
          <w:szCs w:val="18"/>
        </w:rPr>
        <w:t xml:space="preserve"> za </w:t>
      </w:r>
      <w:proofErr w:type="spellStart"/>
      <w:r>
        <w:rPr>
          <w:szCs w:val="18"/>
        </w:rPr>
        <w:t>nazaj</w:t>
      </w:r>
      <w:proofErr w:type="spellEnd"/>
      <w:r>
        <w:rPr>
          <w:szCs w:val="18"/>
        </w:rPr>
        <w:t xml:space="preserve">. </w:t>
      </w:r>
      <w:proofErr w:type="gramStart"/>
      <w:r>
        <w:rPr>
          <w:szCs w:val="18"/>
        </w:rPr>
        <w:t>(2</w:t>
      </w:r>
      <w:proofErr w:type="gramEnd"/>
      <w:r>
        <w:rPr>
          <w:szCs w:val="18"/>
        </w:rPr>
        <w:t xml:space="preserve">) Samo </w:t>
      </w:r>
      <w:proofErr w:type="spellStart"/>
      <w:r>
        <w:rPr>
          <w:szCs w:val="18"/>
        </w:rPr>
        <w:t>zakon</w:t>
      </w:r>
      <w:proofErr w:type="spellEnd"/>
      <w:r>
        <w:rPr>
          <w:szCs w:val="18"/>
        </w:rPr>
        <w:t xml:space="preserve"> </w:t>
      </w:r>
      <w:proofErr w:type="spellStart"/>
      <w:r>
        <w:rPr>
          <w:szCs w:val="18"/>
        </w:rPr>
        <w:t>lahko</w:t>
      </w:r>
      <w:proofErr w:type="spellEnd"/>
      <w:r>
        <w:rPr>
          <w:szCs w:val="18"/>
        </w:rPr>
        <w:t xml:space="preserve"> </w:t>
      </w:r>
      <w:proofErr w:type="spellStart"/>
      <w:r>
        <w:rPr>
          <w:szCs w:val="18"/>
        </w:rPr>
        <w:t>določi</w:t>
      </w:r>
      <w:proofErr w:type="spellEnd"/>
      <w:r>
        <w:rPr>
          <w:szCs w:val="18"/>
        </w:rPr>
        <w:t xml:space="preserve">, da </w:t>
      </w:r>
      <w:proofErr w:type="spellStart"/>
      <w:r>
        <w:rPr>
          <w:szCs w:val="18"/>
        </w:rPr>
        <w:t>imajo</w:t>
      </w:r>
      <w:proofErr w:type="spellEnd"/>
      <w:r>
        <w:rPr>
          <w:szCs w:val="18"/>
        </w:rPr>
        <w:t xml:space="preserve"> </w:t>
      </w:r>
      <w:proofErr w:type="spellStart"/>
      <w:r>
        <w:rPr>
          <w:szCs w:val="18"/>
        </w:rPr>
        <w:t>posamezne</w:t>
      </w:r>
      <w:proofErr w:type="spellEnd"/>
      <w:r>
        <w:rPr>
          <w:szCs w:val="18"/>
        </w:rPr>
        <w:t xml:space="preserve"> </w:t>
      </w:r>
      <w:proofErr w:type="spellStart"/>
      <w:r>
        <w:rPr>
          <w:szCs w:val="18"/>
        </w:rPr>
        <w:t>njegove</w:t>
      </w:r>
      <w:proofErr w:type="spellEnd"/>
      <w:r>
        <w:rPr>
          <w:szCs w:val="18"/>
        </w:rPr>
        <w:t xml:space="preserve"> </w:t>
      </w:r>
      <w:proofErr w:type="spellStart"/>
      <w:r>
        <w:rPr>
          <w:szCs w:val="18"/>
        </w:rPr>
        <w:t>določbe</w:t>
      </w:r>
      <w:proofErr w:type="spellEnd"/>
      <w:r>
        <w:rPr>
          <w:szCs w:val="18"/>
        </w:rPr>
        <w:t xml:space="preserve"> </w:t>
      </w:r>
      <w:proofErr w:type="spellStart"/>
      <w:r>
        <w:rPr>
          <w:szCs w:val="18"/>
        </w:rPr>
        <w:t>učinek</w:t>
      </w:r>
      <w:proofErr w:type="spellEnd"/>
      <w:r>
        <w:rPr>
          <w:szCs w:val="18"/>
        </w:rPr>
        <w:t xml:space="preserve"> za </w:t>
      </w:r>
      <w:proofErr w:type="spellStart"/>
      <w:r>
        <w:rPr>
          <w:szCs w:val="18"/>
        </w:rPr>
        <w:t>nazaj</w:t>
      </w:r>
      <w:proofErr w:type="spellEnd"/>
      <w:r>
        <w:rPr>
          <w:szCs w:val="18"/>
        </w:rPr>
        <w:t xml:space="preserve"> </w:t>
      </w:r>
      <w:proofErr w:type="spellStart"/>
      <w:r>
        <w:rPr>
          <w:szCs w:val="18"/>
        </w:rPr>
        <w:t>samo</w:t>
      </w:r>
      <w:proofErr w:type="spellEnd"/>
      <w:r>
        <w:rPr>
          <w:szCs w:val="18"/>
        </w:rPr>
        <w:t xml:space="preserve">, </w:t>
      </w:r>
      <w:proofErr w:type="spellStart"/>
      <w:r>
        <w:rPr>
          <w:szCs w:val="18"/>
        </w:rPr>
        <w:t>če</w:t>
      </w:r>
      <w:proofErr w:type="spellEnd"/>
      <w:r>
        <w:rPr>
          <w:szCs w:val="18"/>
        </w:rPr>
        <w:t xml:space="preserve"> to </w:t>
      </w:r>
      <w:proofErr w:type="spellStart"/>
      <w:r>
        <w:rPr>
          <w:szCs w:val="18"/>
        </w:rPr>
        <w:t>zahteva</w:t>
      </w:r>
      <w:proofErr w:type="spellEnd"/>
      <w:r>
        <w:rPr>
          <w:szCs w:val="18"/>
        </w:rPr>
        <w:t xml:space="preserve"> </w:t>
      </w:r>
      <w:proofErr w:type="spellStart"/>
      <w:r>
        <w:rPr>
          <w:szCs w:val="18"/>
        </w:rPr>
        <w:t>javna</w:t>
      </w:r>
      <w:proofErr w:type="spellEnd"/>
      <w:r>
        <w:rPr>
          <w:szCs w:val="18"/>
        </w:rPr>
        <w:t xml:space="preserve"> </w:t>
      </w:r>
      <w:proofErr w:type="spellStart"/>
      <w:r>
        <w:rPr>
          <w:szCs w:val="18"/>
        </w:rPr>
        <w:t>korist</w:t>
      </w:r>
      <w:proofErr w:type="spellEnd"/>
      <w:r>
        <w:rPr>
          <w:szCs w:val="18"/>
        </w:rPr>
        <w:t xml:space="preserve"> in </w:t>
      </w:r>
      <w:proofErr w:type="spellStart"/>
      <w:r>
        <w:rPr>
          <w:szCs w:val="18"/>
        </w:rPr>
        <w:t>če</w:t>
      </w:r>
      <w:proofErr w:type="spellEnd"/>
      <w:r>
        <w:rPr>
          <w:szCs w:val="18"/>
        </w:rPr>
        <w:t xml:space="preserve"> se s </w:t>
      </w:r>
      <w:proofErr w:type="spellStart"/>
      <w:r>
        <w:rPr>
          <w:szCs w:val="18"/>
        </w:rPr>
        <w:t>tem</w:t>
      </w:r>
      <w:proofErr w:type="spellEnd"/>
      <w:r>
        <w:rPr>
          <w:szCs w:val="18"/>
        </w:rPr>
        <w:t xml:space="preserve"> ne </w:t>
      </w:r>
      <w:proofErr w:type="spellStart"/>
      <w:r>
        <w:rPr>
          <w:szCs w:val="18"/>
        </w:rPr>
        <w:t>posega</w:t>
      </w:r>
      <w:proofErr w:type="spellEnd"/>
      <w:r>
        <w:rPr>
          <w:szCs w:val="18"/>
        </w:rPr>
        <w:t xml:space="preserve"> v </w:t>
      </w:r>
      <w:proofErr w:type="spellStart"/>
      <w:r>
        <w:rPr>
          <w:szCs w:val="18"/>
        </w:rPr>
        <w:t>pridobljene</w:t>
      </w:r>
      <w:proofErr w:type="spellEnd"/>
      <w:r>
        <w:rPr>
          <w:szCs w:val="18"/>
        </w:rPr>
        <w:t xml:space="preserve"> </w:t>
      </w:r>
      <w:proofErr w:type="spellStart"/>
      <w:r>
        <w:rPr>
          <w:szCs w:val="18"/>
        </w:rPr>
        <w:t>pravice</w:t>
      </w:r>
      <w:bookmarkStart w:id="0" w:name="_GoBack"/>
      <w:bookmarkEnd w:id="0"/>
      <w:proofErr w:type="spellEnd"/>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2">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3">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4">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5">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C0"/>
    <w:rsid w:val="00270737"/>
    <w:rsid w:val="005E07E7"/>
    <w:rsid w:val="00756CF8"/>
    <w:rsid w:val="00CB5B30"/>
    <w:rsid w:val="00F45532"/>
    <w:rsid w:val="00FA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F8"/>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756CF8"/>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756CF8"/>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756CF8"/>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756CF8"/>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CF8"/>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756CF8"/>
    <w:rPr>
      <w:rFonts w:ascii="Arial" w:eastAsia="Times New Roman" w:hAnsi="Arial" w:cs="Arial"/>
      <w:sz w:val="28"/>
      <w:szCs w:val="28"/>
      <w:lang w:eastAsia="ar-SA"/>
    </w:rPr>
  </w:style>
  <w:style w:type="character" w:customStyle="1" w:styleId="Heading3Char">
    <w:name w:val="Heading 3 Char"/>
    <w:basedOn w:val="DefaultParagraphFont"/>
    <w:link w:val="Heading3"/>
    <w:rsid w:val="00756CF8"/>
    <w:rPr>
      <w:rFonts w:ascii="Arial" w:eastAsia="Times New Roman" w:hAnsi="Arial" w:cs="Arial"/>
      <w:sz w:val="26"/>
      <w:szCs w:val="26"/>
      <w:lang w:eastAsia="ar-SA"/>
    </w:rPr>
  </w:style>
  <w:style w:type="character" w:customStyle="1" w:styleId="Heading4Char">
    <w:name w:val="Heading 4 Char"/>
    <w:basedOn w:val="DefaultParagraphFont"/>
    <w:link w:val="Heading4"/>
    <w:rsid w:val="00756CF8"/>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F8"/>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756CF8"/>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756CF8"/>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756CF8"/>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756CF8"/>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CF8"/>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756CF8"/>
    <w:rPr>
      <w:rFonts w:ascii="Arial" w:eastAsia="Times New Roman" w:hAnsi="Arial" w:cs="Arial"/>
      <w:sz w:val="28"/>
      <w:szCs w:val="28"/>
      <w:lang w:eastAsia="ar-SA"/>
    </w:rPr>
  </w:style>
  <w:style w:type="character" w:customStyle="1" w:styleId="Heading3Char">
    <w:name w:val="Heading 3 Char"/>
    <w:basedOn w:val="DefaultParagraphFont"/>
    <w:link w:val="Heading3"/>
    <w:rsid w:val="00756CF8"/>
    <w:rPr>
      <w:rFonts w:ascii="Arial" w:eastAsia="Times New Roman" w:hAnsi="Arial" w:cs="Arial"/>
      <w:sz w:val="26"/>
      <w:szCs w:val="26"/>
      <w:lang w:eastAsia="ar-SA"/>
    </w:rPr>
  </w:style>
  <w:style w:type="character" w:customStyle="1" w:styleId="Heading4Char">
    <w:name w:val="Heading 4 Char"/>
    <w:basedOn w:val="DefaultParagraphFont"/>
    <w:link w:val="Heading4"/>
    <w:rsid w:val="00756CF8"/>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2014-02-01T15:12:00Z</dcterms:created>
  <dcterms:modified xsi:type="dcterms:W3CDTF">2014-02-01T15:12:00Z</dcterms:modified>
</cp:coreProperties>
</file>