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E8" w:rsidRDefault="004E78E8" w:rsidP="004E78E8">
      <w:pPr>
        <w:pStyle w:val="Heading1"/>
        <w:ind w:left="0" w:right="46" w:firstLine="0"/>
        <w:jc w:val="center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SAMOSTOJNI PODJETNIK POSAMEZNIK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sz w:val="20"/>
          <w:szCs w:val="22"/>
        </w:rPr>
      </w:pPr>
      <w:r>
        <w:rPr>
          <w:b/>
          <w:bCs/>
          <w:sz w:val="20"/>
          <w:szCs w:val="22"/>
        </w:rPr>
        <w:t>Splošno o samostojnem podjetniku</w:t>
      </w:r>
      <w:r>
        <w:rPr>
          <w:sz w:val="20"/>
          <w:szCs w:val="22"/>
        </w:rPr>
        <w:t xml:space="preserve"> 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samostojni podjetnik posameznik je fizična oseba, ki na trgu samostojno opravlja pridobitno dejavnost kot svojo izključno dejavnost,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za samostojnega podjetnika veljajo povsem enake vsebinske značilnosti kot za gospodarske družbe,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samostojni podjetnik je lahko </w:t>
      </w:r>
      <w:r>
        <w:rPr>
          <w:b/>
          <w:bCs/>
          <w:sz w:val="20"/>
          <w:szCs w:val="18"/>
        </w:rPr>
        <w:t>le posamezna fizična oseba</w:t>
      </w:r>
      <w:r>
        <w:rPr>
          <w:sz w:val="20"/>
          <w:szCs w:val="18"/>
        </w:rPr>
        <w:t xml:space="preserve">, 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b/>
          <w:bCs/>
          <w:sz w:val="20"/>
          <w:szCs w:val="18"/>
        </w:rPr>
        <w:t>več podjetnikov se lahko združi</w:t>
      </w:r>
      <w:r>
        <w:rPr>
          <w:sz w:val="20"/>
          <w:szCs w:val="18"/>
        </w:rPr>
        <w:t xml:space="preserve"> v eno od gospodarskih družb in ne obstaja posebna družba več podjetnikov; pri tem podjetniki sklenejo med seboj posebno civilnopravno </w:t>
      </w:r>
      <w:proofErr w:type="spellStart"/>
      <w:r>
        <w:rPr>
          <w:sz w:val="20"/>
          <w:szCs w:val="18"/>
        </w:rPr>
        <w:t>societetno</w:t>
      </w:r>
      <w:proofErr w:type="spellEnd"/>
      <w:r>
        <w:rPr>
          <w:sz w:val="20"/>
          <w:szCs w:val="18"/>
        </w:rPr>
        <w:t xml:space="preserve"> pogodbo, ki pa ne ustvari novega pravnega subjekta in še nadalje vsak podjetnik nastopa samostojno v pravnem prometu.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Ureditev in opredelitev samostojnega podjetnika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za podjetnika se smiselno uporabljajo določbe ZGD: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>o dejavnosti;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>o firmi;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>o sedežu;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>o podružnici;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 xml:space="preserve">o </w:t>
      </w:r>
      <w:proofErr w:type="spellStart"/>
      <w:r>
        <w:rPr>
          <w:szCs w:val="18"/>
        </w:rPr>
        <w:t>prokuri</w:t>
      </w:r>
      <w:proofErr w:type="spellEnd"/>
      <w:r>
        <w:rPr>
          <w:szCs w:val="18"/>
        </w:rPr>
        <w:t>;</w:t>
      </w:r>
    </w:p>
    <w:p w:rsidR="004E78E8" w:rsidRDefault="004E78E8" w:rsidP="004E78E8">
      <w:pPr>
        <w:pStyle w:val="Heading4"/>
        <w:numPr>
          <w:ilvl w:val="3"/>
          <w:numId w:val="7"/>
        </w:numPr>
        <w:ind w:left="900" w:right="46" w:hanging="180"/>
        <w:rPr>
          <w:szCs w:val="18"/>
        </w:rPr>
      </w:pPr>
      <w:r>
        <w:rPr>
          <w:szCs w:val="18"/>
        </w:rPr>
        <w:t>o poslovni skrivnosti.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  <w:szCs w:val="18"/>
        </w:rPr>
      </w:pPr>
      <w:r>
        <w:rPr>
          <w:sz w:val="20"/>
          <w:szCs w:val="18"/>
        </w:rPr>
        <w:t>posebno ureditev ima ZGD za podjetnika, katerega</w:t>
      </w:r>
      <w:r>
        <w:rPr>
          <w:b/>
          <w:bCs/>
          <w:sz w:val="20"/>
          <w:szCs w:val="18"/>
        </w:rPr>
        <w:t xml:space="preserve"> podjetje ustreza merilom za srednje in velike družbe</w:t>
      </w:r>
      <w:r>
        <w:rPr>
          <w:sz w:val="20"/>
          <w:szCs w:val="18"/>
        </w:rPr>
        <w:t>, saj se zanj smiselno uporabljajo tudi določbe ZGD o poslovnih knjigah in o sodnem registru,</w:t>
      </w:r>
      <w:r>
        <w:rPr>
          <w:b/>
          <w:bCs/>
          <w:sz w:val="20"/>
          <w:szCs w:val="18"/>
        </w:rPr>
        <w:t xml:space="preserve"> ne uporabljajo pa se določbe o priglasitvi</w:t>
      </w:r>
      <w:r>
        <w:rPr>
          <w:sz w:val="20"/>
          <w:szCs w:val="18"/>
        </w:rPr>
        <w:t xml:space="preserve"> in </w:t>
      </w:r>
      <w:r>
        <w:rPr>
          <w:b/>
          <w:bCs/>
          <w:sz w:val="20"/>
          <w:szCs w:val="18"/>
        </w:rPr>
        <w:t>ne določba o vodenju poslovnih knjig.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Firma samostojnega podjetnika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Sestavine firme 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ime in priimek podjetnika,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označbo dejavnosti,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skrajšano označbo, da gre za samostojnega podjetnika</w:t>
      </w:r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>(s.p.),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morebitne dodatne sestavine</w:t>
      </w:r>
    </w:p>
    <w:p w:rsidR="004E78E8" w:rsidRDefault="004E78E8" w:rsidP="004E78E8">
      <w:pPr>
        <w:ind w:right="46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Uporaba imena in priimka bivšega podjetnika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če podjetnik podjetje proda ali vloži v družbo, lahko kupec ali družba še naprej uporablja v firmi tudi ime in priimek podjetnika, le če ta izrecno soglaša; če podjetnik umre, lahko podjetnikov dedič, ki nadaljuje zapustnikovo podjetje, v firmi tega podjetja še naprej uporablja tudi ime in priimek zapustnika</w:t>
      </w:r>
    </w:p>
    <w:p w:rsidR="004E78E8" w:rsidRDefault="004E78E8" w:rsidP="004E78E8">
      <w:pPr>
        <w:ind w:right="46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Skrajšana firma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podjetnik lahko uporablja tudi skrajšano firmo, ki vsebuje vsaj njegovo ime, priimek in označbo s.p.</w:t>
      </w:r>
    </w:p>
    <w:p w:rsidR="004E78E8" w:rsidRDefault="004E78E8" w:rsidP="004E78E8">
      <w:pPr>
        <w:ind w:right="46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Navedba</w:t>
      </w:r>
      <w:r>
        <w:rPr>
          <w:sz w:val="20"/>
          <w:szCs w:val="22"/>
          <w:u w:val="single"/>
        </w:rPr>
        <w:t xml:space="preserve"> </w:t>
      </w:r>
      <w:r>
        <w:rPr>
          <w:b/>
          <w:bCs/>
          <w:sz w:val="20"/>
          <w:szCs w:val="22"/>
          <w:u w:val="single"/>
        </w:rPr>
        <w:t>prebivališča</w:t>
      </w:r>
      <w:r>
        <w:rPr>
          <w:sz w:val="20"/>
          <w:szCs w:val="22"/>
          <w:u w:val="single"/>
        </w:rPr>
        <w:t xml:space="preserve"> 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navedba prebivališča ima podoben pomen kot navedba sedeža pri pravni osebi (navajanje polnega imena in prebivališča podjetnika je za pravni promet bistveno zaradi uveljavljanja odgovornosti za obveznosti iz njegovega poslovanja) 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na vseh sporočilih, ki jih podjetnik pošlje določenemu naslovniku, mora biti poleg celotne firme in prebivališča podjetnika naveden tudi organ, pri katerem je podjetnik prijavljen, in opravilna številka prijave. 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Odgovornost podjetnika za obveznosti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položaj podjetnika glede odgovornosti za obveznosti iz poslovanja obrata je podoben položaju družbenika pri d.n.o.,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podjetnik odgovarja za obveznosti iz poslovanja obrata z vsem svojim premoženjem, gre za </w:t>
      </w:r>
      <w:r>
        <w:rPr>
          <w:b/>
          <w:bCs/>
          <w:sz w:val="20"/>
          <w:szCs w:val="18"/>
        </w:rPr>
        <w:t>osebno, samostojno, neposredno odgovornost podjetnika</w:t>
      </w:r>
      <w:r>
        <w:rPr>
          <w:sz w:val="20"/>
          <w:szCs w:val="18"/>
        </w:rPr>
        <w:t xml:space="preserve">, ki nima značaja solidarne </w:t>
      </w:r>
      <w:r>
        <w:rPr>
          <w:sz w:val="20"/>
          <w:szCs w:val="18"/>
        </w:rPr>
        <w:lastRenderedPageBreak/>
        <w:t>odgovornosti, saj obrat nima statusa pravne osebe,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b/>
          <w:bCs/>
          <w:sz w:val="20"/>
          <w:szCs w:val="18"/>
        </w:rPr>
        <w:t>ločitev podjetnikovega zasebnega premoženja od premoženja, ki je organizirano v podjetniškem obratu</w:t>
      </w:r>
      <w:r>
        <w:rPr>
          <w:sz w:val="20"/>
          <w:szCs w:val="18"/>
        </w:rPr>
        <w:t xml:space="preserve">, za upnika nima bistvenega pomena, saj je podjetnik odgovarja upnikom z vsem svojim premoženjem, je pa ta ločitev pomembna zaradi davčnih predpisov in zaradi dolgov, ki jih posameznik ustvari kot zasebnik in ne kot gospodarski subjekt. </w:t>
      </w:r>
    </w:p>
    <w:p w:rsidR="004E78E8" w:rsidRDefault="004E78E8" w:rsidP="004E78E8">
      <w:pPr>
        <w:ind w:right="46"/>
        <w:rPr>
          <w:rFonts w:ascii="Arial" w:hAnsi="Arial" w:cs="Arial"/>
          <w:sz w:val="20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Priglasitev pri davčnem organu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podjetnik </w:t>
      </w:r>
      <w:r>
        <w:rPr>
          <w:b/>
          <w:bCs/>
          <w:sz w:val="20"/>
          <w:szCs w:val="18"/>
        </w:rPr>
        <w:t>lahko začne opravljati dejavnost na podlagi prijave</w:t>
      </w:r>
      <w:r>
        <w:rPr>
          <w:sz w:val="20"/>
          <w:szCs w:val="18"/>
        </w:rPr>
        <w:t xml:space="preserve"> pri organu, pristojnem za javne prihodke,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priglasitev je pisna in vsebuje: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>označbo obrata in njegov sedež (firma, dejavnost, opis podjetja);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>ime podjetnika in njegovo prebivališče;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>dokazilo, da podjetnik izpolnjuje vse pogoje za opravljanje dejavnosti (praviloma akt pristojnega upravnega organa).</w:t>
      </w:r>
    </w:p>
    <w:p w:rsidR="004E78E8" w:rsidRDefault="004E78E8" w:rsidP="004E78E8">
      <w:pPr>
        <w:ind w:right="46"/>
        <w:rPr>
          <w:rFonts w:ascii="Arial" w:hAnsi="Arial" w:cs="Arial"/>
          <w:sz w:val="20"/>
        </w:rPr>
      </w:pP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Vpisnik podjetnikov</w:t>
      </w:r>
    </w:p>
    <w:p w:rsidR="004E78E8" w:rsidRDefault="004E78E8" w:rsidP="004E78E8">
      <w:pPr>
        <w:pStyle w:val="Heading3"/>
        <w:numPr>
          <w:ilvl w:val="2"/>
          <w:numId w:val="3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organ, pristojen za javne prihodke,</w:t>
      </w:r>
      <w:r>
        <w:rPr>
          <w:b/>
          <w:bCs/>
          <w:sz w:val="20"/>
          <w:szCs w:val="18"/>
        </w:rPr>
        <w:t xml:space="preserve"> vodi vpisnik podjetnikov</w:t>
      </w:r>
      <w:r>
        <w:rPr>
          <w:sz w:val="20"/>
          <w:szCs w:val="18"/>
        </w:rPr>
        <w:t>, ki je javen,</w:t>
      </w:r>
    </w:p>
    <w:p w:rsidR="004E78E8" w:rsidRDefault="004E78E8" w:rsidP="004E78E8">
      <w:pPr>
        <w:pStyle w:val="Heading3"/>
        <w:numPr>
          <w:ilvl w:val="2"/>
          <w:numId w:val="3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ko pristojni organ ugotovi, da obstajajo materialni in formalni pogoji za pridobitev statusa podjetnika, vroči podjetniku overjeni priglasitveni list za prijavo in s tem ta pridobi status samostojnega podjetnika (</w:t>
      </w:r>
      <w:r>
        <w:rPr>
          <w:b/>
          <w:bCs/>
          <w:sz w:val="20"/>
          <w:szCs w:val="18"/>
        </w:rPr>
        <w:t xml:space="preserve">normativni sistem ustanavljanja </w:t>
      </w:r>
      <w:r>
        <w:rPr>
          <w:sz w:val="20"/>
          <w:szCs w:val="18"/>
        </w:rPr>
        <w:t xml:space="preserve">- tudi za podjetnika velja normativni sistem ustanavljanja gospodarskih subjektov, saj ni potrebno dovoljenje kakšnega organa, da bi fizična oseba pridobila status podjetnika). 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Srednji in veliki podjetniki</w:t>
      </w:r>
    </w:p>
    <w:p w:rsidR="004E78E8" w:rsidRDefault="004E78E8" w:rsidP="004E78E8">
      <w:pPr>
        <w:pStyle w:val="Heading3"/>
        <w:numPr>
          <w:ilvl w:val="2"/>
          <w:numId w:val="3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podjetniki, ki ustrezajo merilom za srednje ali velike družbe, se ne vpisujejo v vpisnih pri davčnem organu, ampak enako kot vse ostale gospodarske družbe v sodni register</w:t>
      </w:r>
    </w:p>
    <w:p w:rsidR="004E78E8" w:rsidRDefault="004E78E8" w:rsidP="004E78E8">
      <w:pPr>
        <w:pStyle w:val="Heading3"/>
        <w:numPr>
          <w:ilvl w:val="2"/>
          <w:numId w:val="3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srednji in veliki podjetniki so tisti, ki presegajo vsaj dve od naslednjih meril (</w:t>
      </w:r>
      <w:proofErr w:type="spellStart"/>
      <w:r>
        <w:rPr>
          <w:sz w:val="20"/>
          <w:szCs w:val="18"/>
        </w:rPr>
        <w:t>52.č.ZGD</w:t>
      </w:r>
      <w:proofErr w:type="spellEnd"/>
      <w:r>
        <w:rPr>
          <w:sz w:val="20"/>
          <w:szCs w:val="18"/>
        </w:rPr>
        <w:t>):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>1. povprečno število zaposlenih v zadnjem letu je več od 50,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>2. čisti prihodki od prodaje v zadnjem poslovnem letu presegajo 1 milijardo SIT,</w:t>
      </w:r>
    </w:p>
    <w:p w:rsidR="004E78E8" w:rsidRDefault="004E78E8" w:rsidP="004E78E8">
      <w:pPr>
        <w:pStyle w:val="Heading4"/>
        <w:numPr>
          <w:ilvl w:val="3"/>
          <w:numId w:val="6"/>
        </w:numPr>
        <w:ind w:left="900" w:right="46" w:hanging="180"/>
        <w:rPr>
          <w:szCs w:val="18"/>
        </w:rPr>
      </w:pPr>
      <w:r>
        <w:rPr>
          <w:szCs w:val="18"/>
        </w:rPr>
        <w:t xml:space="preserve">3. vrednost aktive ob koncu poslovnega leta presega 500 mio SIT </w:t>
      </w:r>
    </w:p>
    <w:p w:rsidR="004E78E8" w:rsidRDefault="004E78E8" w:rsidP="004E78E8">
      <w:pPr>
        <w:pStyle w:val="Heading2"/>
        <w:ind w:right="46"/>
        <w:rPr>
          <w:b/>
          <w:bCs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Podružnice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podjetnik lahko ima podružnice,</w:t>
      </w:r>
      <w:r>
        <w:rPr>
          <w:sz w:val="20"/>
          <w:szCs w:val="18"/>
        </w:rPr>
        <w:t xml:space="preserve"> ki so krajevno ločene od sedeža obrata,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podružnice je treba priglasiti pristojnemu organu.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Priglasitev prenehanja poslovanja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podjetnik priglasi </w:t>
      </w:r>
      <w:r>
        <w:rPr>
          <w:b/>
          <w:bCs/>
          <w:sz w:val="20"/>
          <w:szCs w:val="18"/>
        </w:rPr>
        <w:t>prenehanje poslovanja organu, pristojnemu za javne prihodke,</w:t>
      </w:r>
      <w:r>
        <w:rPr>
          <w:sz w:val="20"/>
          <w:szCs w:val="18"/>
        </w:rPr>
        <w:t xml:space="preserve"> 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podjetnik mora vsaj 3 mesece pred prijavo prenehanja poslovanja na primeren način (s pismi upnikom, v sredstvih javnega obveščanja, v poslovnih prostorih) </w:t>
      </w:r>
      <w:r>
        <w:rPr>
          <w:b/>
          <w:bCs/>
          <w:sz w:val="20"/>
          <w:szCs w:val="18"/>
        </w:rPr>
        <w:t>objaviti, da bo prenehal poslovati</w:t>
      </w:r>
      <w:r>
        <w:rPr>
          <w:sz w:val="20"/>
          <w:szCs w:val="18"/>
        </w:rPr>
        <w:t xml:space="preserve"> ter ob tem navesti tudi dan prenehanja poslovanja,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opustitev poslovanja ni vezana na posebne pogoje in lahko štejemo, da je podjetnik prenehal z dejavnostjo z dnem, ko je v skladu z ZGD priglasil prenehanje poslovanja pristojnemu organu,</w:t>
      </w:r>
    </w:p>
    <w:p w:rsidR="004E78E8" w:rsidRDefault="004E78E8" w:rsidP="004E78E8">
      <w:pPr>
        <w:pStyle w:val="Heading2"/>
        <w:numPr>
          <w:ilvl w:val="1"/>
          <w:numId w:val="4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enaka dolžnost smiselno velja tudi za</w:t>
      </w:r>
      <w:r>
        <w:rPr>
          <w:b/>
          <w:bCs/>
          <w:sz w:val="20"/>
          <w:szCs w:val="18"/>
        </w:rPr>
        <w:t xml:space="preserve"> podjetnika, ki namerava podjetje prodati</w:t>
      </w:r>
      <w:r>
        <w:rPr>
          <w:sz w:val="20"/>
          <w:szCs w:val="18"/>
        </w:rPr>
        <w:t xml:space="preserve"> ali ga vložiti v družbo.</w:t>
      </w:r>
    </w:p>
    <w:p w:rsidR="004E78E8" w:rsidRDefault="004E78E8" w:rsidP="004E78E8">
      <w:pPr>
        <w:pStyle w:val="Heading1"/>
        <w:pageBreakBefore/>
        <w:ind w:left="0" w:right="46" w:firstLine="0"/>
        <w:jc w:val="center"/>
        <w:rPr>
          <w:rFonts w:ascii="Arial" w:hAnsi="Arial" w:cs="Arial"/>
          <w:color w:val="00FF00"/>
          <w:sz w:val="20"/>
          <w:szCs w:val="24"/>
          <w:lang w:val="sl-SI"/>
        </w:rPr>
      </w:pPr>
      <w:r>
        <w:rPr>
          <w:rFonts w:ascii="Arial" w:hAnsi="Arial" w:cs="Arial"/>
          <w:color w:val="00FF00"/>
          <w:sz w:val="20"/>
          <w:szCs w:val="24"/>
          <w:lang w:val="sl-SI"/>
        </w:rPr>
        <w:lastRenderedPageBreak/>
        <w:t>OBRT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5"/>
        </w:numPr>
        <w:ind w:left="270" w:right="46" w:hanging="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Ureditev in opredelitev obrti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</w:rPr>
      </w:pPr>
      <w:r>
        <w:rPr>
          <w:sz w:val="20"/>
          <w:szCs w:val="18"/>
        </w:rPr>
        <w:t xml:space="preserve">Obrtni zakon določa </w:t>
      </w:r>
      <w:r>
        <w:rPr>
          <w:b/>
          <w:bCs/>
          <w:sz w:val="20"/>
          <w:szCs w:val="18"/>
        </w:rPr>
        <w:t xml:space="preserve">obrt </w:t>
      </w:r>
      <w:r>
        <w:rPr>
          <w:sz w:val="20"/>
          <w:szCs w:val="18"/>
        </w:rPr>
        <w:t>kot</w:t>
      </w:r>
      <w:r>
        <w:rPr>
          <w:b/>
          <w:bCs/>
          <w:sz w:val="20"/>
          <w:szCs w:val="18"/>
        </w:rPr>
        <w:t xml:space="preserve"> način opravljanja dejavnosti.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Obrtna dejavnost</w:t>
      </w:r>
      <w:r>
        <w:rPr>
          <w:sz w:val="20"/>
          <w:szCs w:val="18"/>
        </w:rPr>
        <w:t xml:space="preserve"> je pridobitna dejavnost in je določena v listi obrtnih dejavnosti, ki jo določi Vlada RS z uredbo.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Obrti podobna dejavnost</w:t>
      </w:r>
      <w:r>
        <w:rPr>
          <w:sz w:val="20"/>
          <w:szCs w:val="18"/>
        </w:rPr>
        <w:t xml:space="preserve"> je pridobitna dejavnost, ki se opravlja na način, ki je obrti podoben in je določena v listi obrti podobnih dejavnosti, ki jo določi Vlada RS z uredbo.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Dejavnost domače in umetne obrti</w:t>
      </w:r>
      <w:r>
        <w:rPr>
          <w:sz w:val="20"/>
          <w:szCs w:val="18"/>
        </w:rPr>
        <w:t xml:space="preserve"> je dejavnost, za katero sta značilna enostaven način dela s pretežnim ročnim delom in umetniško in oblikovalsko ustvarjanje. Za dejavnosti domače in umetne obrti veljajo posebni zakonski pogoji.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</w:rPr>
      </w:pPr>
      <w:r>
        <w:rPr>
          <w:sz w:val="20"/>
          <w:szCs w:val="18"/>
        </w:rPr>
        <w:t xml:space="preserve">Obrtna dejavnost in obrti podobna je tista, za katero veljajo te </w:t>
      </w:r>
      <w:r>
        <w:rPr>
          <w:b/>
          <w:bCs/>
          <w:sz w:val="20"/>
          <w:szCs w:val="18"/>
          <w:u w:val="single"/>
        </w:rPr>
        <w:t>značilnosti</w:t>
      </w:r>
      <w:r>
        <w:rPr>
          <w:b/>
          <w:bCs/>
          <w:sz w:val="20"/>
          <w:szCs w:val="18"/>
        </w:rPr>
        <w:t>: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b/>
          <w:bCs/>
          <w:sz w:val="20"/>
          <w:szCs w:val="18"/>
        </w:rPr>
      </w:pPr>
      <w:r>
        <w:rPr>
          <w:sz w:val="20"/>
          <w:szCs w:val="18"/>
        </w:rPr>
        <w:t>da gre za proizvodno ali storitveno dejavnost na podlagi</w:t>
      </w:r>
      <w:r>
        <w:rPr>
          <w:b/>
          <w:bCs/>
          <w:sz w:val="20"/>
          <w:szCs w:val="18"/>
        </w:rPr>
        <w:t xml:space="preserve"> individualnih naročil, 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da se opravlja proizvodnja le v majhnih serijah</w:t>
      </w:r>
      <w:r>
        <w:rPr>
          <w:sz w:val="20"/>
          <w:szCs w:val="18"/>
        </w:rPr>
        <w:t xml:space="preserve"> ter 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da serijska proizvodnja ne obsega pretežnega dela dejavnosti,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b/>
          <w:bCs/>
          <w:sz w:val="20"/>
          <w:szCs w:val="18"/>
        </w:rPr>
      </w:pPr>
      <w:r>
        <w:rPr>
          <w:sz w:val="20"/>
          <w:szCs w:val="18"/>
        </w:rPr>
        <w:t xml:space="preserve">da se uporabljajo stroji, orodja in tehnične naprave, ki so primerne za opravljanje dejavnosti in da </w:t>
      </w:r>
      <w:r>
        <w:rPr>
          <w:b/>
          <w:bCs/>
          <w:sz w:val="20"/>
          <w:szCs w:val="18"/>
        </w:rPr>
        <w:t>nimajo značilnosti tekočih trakov ali avtomatiziranega delovnega procesa.</w:t>
      </w:r>
    </w:p>
    <w:p w:rsidR="004E78E8" w:rsidRDefault="004E78E8" w:rsidP="004E78E8">
      <w:pPr>
        <w:pStyle w:val="Heading2"/>
        <w:ind w:right="46"/>
        <w:rPr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Obrtni register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obrtna zbornica Slovenije vodi obrtni register, v katerega vpiše fizične in pravne osebe, ki opravljajo obrtno dejavnost, obrti podobno dejavnost ter dejavnost domače in umetne obrti in osebo oz. osebe, ki izpolnjujejo pogoje za opravljanje dejavnosti,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obrtni register je javna knjiga.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Obrtno dovoljenje in vpis v obrtni register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pravica do opravljanja obrtne dejavnosti, obrti podobne dejavnosti ter dejavnosti domače in umetne obrti se pridobi na podlagi obrtnega dovoljenja in vpisa v obrtni register,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obrtno dovoljenje je </w:t>
      </w:r>
      <w:r>
        <w:rPr>
          <w:b/>
          <w:bCs/>
          <w:sz w:val="20"/>
          <w:szCs w:val="18"/>
          <w:lang w:val="sl-SI"/>
        </w:rPr>
        <w:t>dokazilo o izpolnjevanju pogojev</w:t>
      </w:r>
      <w:r>
        <w:rPr>
          <w:sz w:val="20"/>
          <w:szCs w:val="18"/>
          <w:lang w:val="sl-SI"/>
        </w:rPr>
        <w:t xml:space="preserve"> za opravljanje dejavnosti, ki ga lahko </w:t>
      </w:r>
      <w:r>
        <w:rPr>
          <w:b/>
          <w:bCs/>
          <w:sz w:val="20"/>
          <w:szCs w:val="18"/>
          <w:lang w:val="sl-SI"/>
        </w:rPr>
        <w:t>pridobi s.p. ali gospodarska družba</w:t>
      </w:r>
      <w:r>
        <w:rPr>
          <w:sz w:val="20"/>
          <w:szCs w:val="18"/>
          <w:lang w:val="sl-SI"/>
        </w:rPr>
        <w:t xml:space="preserve">, če izpolnjuje pogoje, ki jih določa ta zakon. </w:t>
      </w:r>
    </w:p>
    <w:p w:rsidR="004E78E8" w:rsidRDefault="004E78E8" w:rsidP="004E78E8">
      <w:pPr>
        <w:pStyle w:val="Heading2"/>
        <w:ind w:right="46"/>
        <w:rPr>
          <w:b/>
          <w:bCs/>
          <w:sz w:val="20"/>
          <w:szCs w:val="18"/>
          <w:lang w:val="sl-SI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Pogoji za OD za</w:t>
      </w:r>
      <w:r>
        <w:rPr>
          <w:sz w:val="20"/>
          <w:szCs w:val="22"/>
          <w:u w:val="single"/>
          <w:lang w:val="sl-SI"/>
        </w:rPr>
        <w:t xml:space="preserve"> </w:t>
      </w:r>
      <w:r>
        <w:rPr>
          <w:b/>
          <w:bCs/>
          <w:sz w:val="20"/>
          <w:szCs w:val="22"/>
          <w:u w:val="single"/>
          <w:lang w:val="sl-SI"/>
        </w:rPr>
        <w:t>opravljanje obrtne dejavnosti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mojstrski naziv,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dokazilo o izpolnjevanju predpisanih minimalnih pogojev za opravljanje dejavnosti.</w:t>
      </w:r>
    </w:p>
    <w:p w:rsidR="004E78E8" w:rsidRDefault="004E78E8" w:rsidP="004E78E8">
      <w:pPr>
        <w:pStyle w:val="Heading3"/>
        <w:ind w:right="46"/>
        <w:rPr>
          <w:sz w:val="20"/>
          <w:szCs w:val="18"/>
        </w:rPr>
      </w:pPr>
      <w:r>
        <w:rPr>
          <w:sz w:val="20"/>
          <w:szCs w:val="18"/>
        </w:rPr>
        <w:tab/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Pogoji za OD za opravljanje obrti podobne dejavnosti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dokončana ustrezna poklicna šola oz. opravljen preizkus strokovne usposobljenosti za opravljanje dejavnosti ali strokovna izobrazba V., VI. ali VII. stopnje, ki daje ustrezna strokovna oz. praktična znanja za obrt,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dokazilo o izpolnjevanju predpisanih minimalnih pogojih za opravljanje dejavnosti.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Minimalni pogoji za opravljanje obrtne in obrtni podobne dejavnosti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minimalni tehnični in drugi pogoji</w:t>
      </w:r>
      <w:r>
        <w:rPr>
          <w:sz w:val="20"/>
          <w:szCs w:val="18"/>
          <w:lang w:val="sl-SI"/>
        </w:rPr>
        <w:t>, ki se nanašajo na poslovni prostor, funkcionalno zemljišče in druge zunanje površine, opremo in naprave,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minimalni sanitarno-zdravstveni pogoji</w:t>
      </w:r>
      <w:r>
        <w:rPr>
          <w:sz w:val="20"/>
          <w:szCs w:val="18"/>
          <w:lang w:val="sl-SI"/>
        </w:rPr>
        <w:t>, ki se nanašajo na poslovni prostor, funkcionalno zemljišče in druge zunanje površine, opremo, naprave in osebe, ki neposredno delajo v obratovalnici,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minimalni pogoji glede zunanjih površin</w:t>
      </w:r>
      <w:r>
        <w:rPr>
          <w:sz w:val="20"/>
          <w:szCs w:val="18"/>
          <w:lang w:val="sl-SI"/>
        </w:rPr>
        <w:t xml:space="preserve"> (funkcionalno zemljišče in druge zunanje površine).</w:t>
      </w:r>
    </w:p>
    <w:p w:rsidR="004E78E8" w:rsidRDefault="004E78E8" w:rsidP="004E78E8">
      <w:pPr>
        <w:pStyle w:val="Heading3"/>
        <w:ind w:left="360" w:right="46" w:firstLine="0"/>
        <w:rPr>
          <w:sz w:val="20"/>
          <w:szCs w:val="18"/>
        </w:rPr>
      </w:pPr>
      <w:r>
        <w:rPr>
          <w:sz w:val="20"/>
          <w:szCs w:val="18"/>
        </w:rPr>
        <w:tab/>
      </w: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rPr>
          <w:rFonts w:ascii="Arial" w:hAnsi="Arial" w:cs="Arial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Obrtno dovoljenje pridobi</w:t>
      </w:r>
      <w:r>
        <w:rPr>
          <w:b/>
          <w:bCs/>
          <w:sz w:val="20"/>
          <w:szCs w:val="18"/>
          <w:lang w:val="sl-SI"/>
        </w:rPr>
        <w:t xml:space="preserve"> </w:t>
      </w:r>
      <w:r>
        <w:rPr>
          <w:b/>
          <w:bCs/>
          <w:sz w:val="20"/>
          <w:szCs w:val="18"/>
          <w:u w:val="single"/>
          <w:lang w:val="sl-SI"/>
        </w:rPr>
        <w:t>nosilec obrtne dejavnosti</w:t>
      </w:r>
      <w:r>
        <w:rPr>
          <w:sz w:val="20"/>
          <w:szCs w:val="18"/>
          <w:lang w:val="sl-SI"/>
        </w:rPr>
        <w:t xml:space="preserve"> kot posameznik, lahko pa tudi: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s. p.,</w:t>
      </w:r>
      <w:r>
        <w:rPr>
          <w:sz w:val="20"/>
          <w:szCs w:val="18"/>
          <w:lang w:val="sl-SI"/>
        </w:rPr>
        <w:t xml:space="preserve"> če zaposluje vsaj eno osebo,ki izpolnjuje pogoje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d. n. o. in d. o. o.</w:t>
      </w:r>
      <w:r>
        <w:rPr>
          <w:sz w:val="20"/>
          <w:szCs w:val="18"/>
          <w:lang w:val="sl-SI"/>
        </w:rPr>
        <w:t>, če zaposluje vsaj eno osebo, ki izpolnjuje pogoje ali če te pogoje izpolnjuje vsaj eden od družbenikov,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t>k. d.</w:t>
      </w:r>
      <w:r>
        <w:rPr>
          <w:sz w:val="20"/>
          <w:szCs w:val="18"/>
          <w:lang w:val="sl-SI"/>
        </w:rPr>
        <w:t xml:space="preserve">, če zaposluje vsaj eno osebo, ki izpolnjuje pogoje ali če jih izpolnjuje vsaj eden od </w:t>
      </w:r>
      <w:proofErr w:type="spellStart"/>
      <w:r>
        <w:rPr>
          <w:sz w:val="20"/>
          <w:szCs w:val="18"/>
          <w:lang w:val="sl-SI"/>
        </w:rPr>
        <w:t>komplementarjev</w:t>
      </w:r>
      <w:proofErr w:type="spellEnd"/>
      <w:r>
        <w:rPr>
          <w:sz w:val="20"/>
          <w:szCs w:val="18"/>
          <w:lang w:val="sl-SI"/>
        </w:rPr>
        <w:t>,</w:t>
      </w:r>
    </w:p>
    <w:p w:rsidR="004E78E8" w:rsidRDefault="004E78E8" w:rsidP="004E78E8">
      <w:pPr>
        <w:pStyle w:val="Heading3"/>
        <w:numPr>
          <w:ilvl w:val="2"/>
          <w:numId w:val="9"/>
        </w:numPr>
        <w:ind w:left="585" w:right="46" w:hanging="225"/>
        <w:rPr>
          <w:sz w:val="20"/>
          <w:szCs w:val="18"/>
          <w:lang w:val="sl-SI"/>
        </w:rPr>
      </w:pPr>
      <w:r>
        <w:rPr>
          <w:b/>
          <w:bCs/>
          <w:sz w:val="20"/>
          <w:szCs w:val="18"/>
          <w:lang w:val="sl-SI"/>
        </w:rPr>
        <w:lastRenderedPageBreak/>
        <w:t>d.d.</w:t>
      </w:r>
      <w:r>
        <w:rPr>
          <w:sz w:val="20"/>
          <w:szCs w:val="18"/>
          <w:lang w:val="sl-SI"/>
        </w:rPr>
        <w:t>, če vsaj eden od članov poslovodstva ali pri njej zaposlena oseba izpolnjuje ta pogoj.</w:t>
      </w:r>
    </w:p>
    <w:p w:rsidR="004E78E8" w:rsidRDefault="004E78E8" w:rsidP="004E78E8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lang w:val="sl-SI"/>
        </w:rPr>
      </w:pPr>
      <w:r>
        <w:rPr>
          <w:b/>
          <w:bCs/>
          <w:sz w:val="20"/>
          <w:szCs w:val="22"/>
          <w:lang w:val="sl-SI"/>
        </w:rPr>
        <w:t>Obrtno dovoljenje izda Obrtna zbornica Slovenije (OZS)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vanj se vpišejo obrtna dejavnost, nosilec obrtne dejavnosti ter drugi potrebni podatki,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na podlagi izdanega obrtnega dovoljenja OZS po uradni dolžnosti vpiše subjekt </w:t>
      </w:r>
      <w:r>
        <w:rPr>
          <w:b/>
          <w:bCs/>
          <w:sz w:val="20"/>
          <w:szCs w:val="18"/>
          <w:lang w:val="sl-SI"/>
        </w:rPr>
        <w:t>v obrtni register.</w:t>
      </w:r>
    </w:p>
    <w:p w:rsidR="004E78E8" w:rsidRDefault="004E78E8" w:rsidP="004E78E8">
      <w:pPr>
        <w:pStyle w:val="Heading2"/>
        <w:ind w:right="46"/>
        <w:rPr>
          <w:sz w:val="20"/>
          <w:szCs w:val="18"/>
          <w:lang w:val="sl-SI"/>
        </w:rPr>
      </w:pP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Prenehanje veljavnosti obrtnega dovoljenja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z odjavo iz obrtnega registra (fizična ali pravna oseba se je dolžna v 8 dneh po prenehanju opravljanja dejavnosti odjaviti iz obrtnega registra in vrniti obrtno dovoljenje) ali</w:t>
      </w:r>
    </w:p>
    <w:p w:rsidR="004E78E8" w:rsidRDefault="004E78E8" w:rsidP="004E78E8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z odvzemom (OZS odvzame obrtno dovoljenje in opravi izbris iz obrtnega registra, če ugotovi, da fizična ali pravna oseba</w:t>
      </w:r>
    </w:p>
    <w:p w:rsidR="004E78E8" w:rsidRDefault="004E78E8" w:rsidP="004E78E8">
      <w:pPr>
        <w:pStyle w:val="Heading4"/>
        <w:numPr>
          <w:ilvl w:val="3"/>
          <w:numId w:val="8"/>
        </w:numPr>
        <w:ind w:left="900" w:right="46" w:hanging="180"/>
        <w:rPr>
          <w:szCs w:val="18"/>
          <w:lang w:val="sl-SI"/>
        </w:rPr>
      </w:pPr>
      <w:r>
        <w:rPr>
          <w:szCs w:val="18"/>
          <w:lang w:val="sl-SI"/>
        </w:rPr>
        <w:t xml:space="preserve">1. ne izpolnjuje pogojev ali da </w:t>
      </w:r>
    </w:p>
    <w:p w:rsidR="004E78E8" w:rsidRDefault="004E78E8" w:rsidP="004E78E8">
      <w:pPr>
        <w:pStyle w:val="Heading4"/>
        <w:numPr>
          <w:ilvl w:val="3"/>
          <w:numId w:val="8"/>
        </w:numPr>
        <w:ind w:left="900" w:right="46" w:hanging="180"/>
        <w:rPr>
          <w:szCs w:val="18"/>
          <w:lang w:val="sl-SI"/>
        </w:rPr>
      </w:pPr>
      <w:r>
        <w:rPr>
          <w:szCs w:val="18"/>
          <w:lang w:val="sl-SI"/>
        </w:rPr>
        <w:t>2. opravlja dejavnost v nasprotju z obrtnim dovoljenjem ali</w:t>
      </w:r>
    </w:p>
    <w:p w:rsidR="004E78E8" w:rsidRDefault="004E78E8" w:rsidP="004E78E8">
      <w:pPr>
        <w:pStyle w:val="Heading4"/>
        <w:numPr>
          <w:ilvl w:val="3"/>
          <w:numId w:val="8"/>
        </w:numPr>
        <w:ind w:left="900" w:right="46" w:hanging="180"/>
        <w:rPr>
          <w:szCs w:val="18"/>
          <w:lang w:val="sl-SI"/>
        </w:rPr>
      </w:pPr>
      <w:r>
        <w:rPr>
          <w:szCs w:val="18"/>
          <w:lang w:val="sl-SI"/>
        </w:rPr>
        <w:t>3. če pristojno častno razsodišče ali OZS ugotovita hujšo kršitev dobrih poslovnih običajev,</w:t>
      </w:r>
    </w:p>
    <w:p w:rsidR="00CB5B30" w:rsidRPr="004E78E8" w:rsidRDefault="004E78E8" w:rsidP="004E78E8">
      <w:pPr>
        <w:pStyle w:val="Heading4"/>
        <w:numPr>
          <w:ilvl w:val="3"/>
          <w:numId w:val="8"/>
        </w:numPr>
        <w:ind w:left="900" w:right="46" w:hanging="180"/>
        <w:rPr>
          <w:szCs w:val="18"/>
          <w:lang w:val="sl-SI"/>
        </w:rPr>
      </w:pPr>
      <w:r>
        <w:rPr>
          <w:szCs w:val="18"/>
          <w:lang w:val="sl-SI"/>
        </w:rPr>
        <w:t>4. če ugotovi nestrokovnost pri opravljanju dejavnosti.</w:t>
      </w:r>
      <w:bookmarkStart w:id="0" w:name="_GoBack"/>
      <w:bookmarkEnd w:id="0"/>
    </w:p>
    <w:sectPr w:rsidR="00CB5B30" w:rsidRPr="004E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1"/>
        <w:szCs w:val="11"/>
      </w:rPr>
    </w:lvl>
  </w:abstractNum>
  <w:abstractNum w:abstractNumId="2">
    <w:nsid w:val="00000004"/>
    <w:multiLevelType w:val="singleLevel"/>
    <w:tmpl w:val="00000004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7"/>
        <w:szCs w:val="17"/>
      </w:rPr>
    </w:lvl>
  </w:abstractNum>
  <w:abstractNum w:abstractNumId="3">
    <w:nsid w:val="00000006"/>
    <w:multiLevelType w:val="singleLevel"/>
    <w:tmpl w:val="00000006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2"/>
        <w:szCs w:val="12"/>
      </w:rPr>
    </w:lvl>
  </w:abstractNum>
  <w:abstractNum w:abstractNumId="4">
    <w:nsid w:val="00000007"/>
    <w:multiLevelType w:val="singleLevel"/>
    <w:tmpl w:val="00000007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4"/>
        <w:szCs w:val="14"/>
      </w:rPr>
    </w:lvl>
  </w:abstractNum>
  <w:abstractNum w:abstractNumId="5">
    <w:nsid w:val="00000008"/>
    <w:multiLevelType w:val="singleLevel"/>
    <w:tmpl w:val="00000008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3"/>
        <w:szCs w:val="13"/>
      </w:rPr>
    </w:lvl>
  </w:abstractNum>
  <w:abstractNum w:abstractNumId="6">
    <w:nsid w:val="0000000E"/>
    <w:multiLevelType w:val="singleLevel"/>
    <w:tmpl w:val="0000000E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4"/>
        <w:szCs w:val="14"/>
      </w:rPr>
    </w:lvl>
  </w:abstractNum>
  <w:abstractNum w:abstractNumId="7">
    <w:nsid w:val="0000000F"/>
    <w:multiLevelType w:val="singleLevel"/>
    <w:tmpl w:val="0000000F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2"/>
        <w:szCs w:val="12"/>
      </w:rPr>
    </w:lvl>
  </w:abstractNum>
  <w:abstractNum w:abstractNumId="8">
    <w:nsid w:val="00000013"/>
    <w:multiLevelType w:val="singleLevel"/>
    <w:tmpl w:val="00000013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C"/>
    <w:rsid w:val="00270737"/>
    <w:rsid w:val="004E78E8"/>
    <w:rsid w:val="005A314C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4E78E8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4E78E8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4E78E8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4E78E8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8E8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4E78E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4E78E8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E78E8"/>
    <w:rPr>
      <w:rFonts w:ascii="Arial" w:eastAsia="Times New Roman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4E78E8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4E78E8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4E78E8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4E78E8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8E8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4E78E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4E78E8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4E78E8"/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2014-02-01T15:19:00Z</dcterms:created>
  <dcterms:modified xsi:type="dcterms:W3CDTF">2014-02-01T15:19:00Z</dcterms:modified>
</cp:coreProperties>
</file>