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D1F89" w14:textId="1ED09248" w:rsidR="00C0744C" w:rsidRDefault="00041703" w:rsidP="00FF34CB">
      <w:pPr>
        <w:spacing w:after="120" w:line="276" w:lineRule="auto"/>
        <w:contextualSpacing/>
      </w:pPr>
      <w:proofErr w:type="spellStart"/>
      <w:r>
        <w:t>Italija</w:t>
      </w:r>
      <w:proofErr w:type="spellEnd"/>
      <w:r>
        <w:t xml:space="preserve"> je </w:t>
      </w:r>
      <w:proofErr w:type="spellStart"/>
      <w:r>
        <w:t>razdeljena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20 </w:t>
      </w:r>
      <w:proofErr w:type="spellStart"/>
      <w:r>
        <w:t>dežel</w:t>
      </w:r>
      <w:proofErr w:type="spellEnd"/>
      <w:r w:rsidR="00FF34CB">
        <w:t xml:space="preserve"> (</w:t>
      </w:r>
      <w:proofErr w:type="spellStart"/>
      <w:r w:rsidR="00FF34CB" w:rsidRPr="00FF34CB">
        <w:rPr>
          <w:color w:val="0000FF"/>
        </w:rPr>
        <w:t>regioni</w:t>
      </w:r>
      <w:proofErr w:type="spellEnd"/>
      <w:r w:rsidR="00FF34CB">
        <w:t>)</w:t>
      </w:r>
      <w:r>
        <w:t xml:space="preserve">: </w:t>
      </w:r>
    </w:p>
    <w:p w14:paraId="2E7D7A7B" w14:textId="77777777" w:rsidR="00FF34CB" w:rsidRDefault="00FF34CB" w:rsidP="00E24907">
      <w:pPr>
        <w:spacing w:after="120" w:line="276" w:lineRule="auto"/>
        <w:ind w:left="1440" w:hanging="1440"/>
        <w:contextualSpacing/>
      </w:pPr>
    </w:p>
    <w:p w14:paraId="064A019D" w14:textId="4E01810C" w:rsidR="00FF34CB" w:rsidRPr="00FF34CB" w:rsidRDefault="00C0744C" w:rsidP="00E24907">
      <w:pPr>
        <w:spacing w:after="120" w:line="276" w:lineRule="auto"/>
        <w:ind w:left="1440" w:hanging="1440"/>
        <w:contextualSpacing/>
        <w:rPr>
          <w:color w:val="0000FF"/>
        </w:rPr>
      </w:pPr>
      <w:proofErr w:type="gramStart"/>
      <w:r w:rsidRPr="00FF34CB">
        <w:rPr>
          <w:color w:val="0000FF"/>
        </w:rPr>
        <w:t>15 z</w:t>
      </w:r>
      <w:proofErr w:type="gramEnd"/>
      <w:r w:rsidRPr="00FF34CB">
        <w:rPr>
          <w:color w:val="0000FF"/>
        </w:rPr>
        <w:t xml:space="preserve"> “</w:t>
      </w:r>
      <w:proofErr w:type="spellStart"/>
      <w:r w:rsidR="00FF34CB">
        <w:rPr>
          <w:color w:val="0000FF"/>
        </w:rPr>
        <w:t>rednim</w:t>
      </w:r>
      <w:proofErr w:type="spellEnd"/>
      <w:r w:rsidRPr="00FF34CB">
        <w:rPr>
          <w:color w:val="0000FF"/>
        </w:rPr>
        <w:t xml:space="preserve">” </w:t>
      </w:r>
      <w:proofErr w:type="spellStart"/>
      <w:r w:rsidRPr="00FF34CB">
        <w:rPr>
          <w:color w:val="0000FF"/>
        </w:rPr>
        <w:t>statusom</w:t>
      </w:r>
      <w:proofErr w:type="spellEnd"/>
      <w:r w:rsidRPr="00FF34CB">
        <w:rPr>
          <w:color w:val="0000FF"/>
        </w:rPr>
        <w:t xml:space="preserve">: </w:t>
      </w:r>
    </w:p>
    <w:p w14:paraId="125A55D3" w14:textId="77777777" w:rsidR="00E425F6" w:rsidRDefault="00FF34CB" w:rsidP="00FF34CB">
      <w:pPr>
        <w:spacing w:after="120" w:line="276" w:lineRule="auto"/>
        <w:ind w:left="1440" w:hanging="1440"/>
        <w:contextualSpacing/>
      </w:pPr>
      <w:r w:rsidRPr="00E425F6">
        <w:rPr>
          <w:color w:val="0000FF"/>
        </w:rPr>
        <w:t>Veneto</w:t>
      </w:r>
      <w:r>
        <w:t xml:space="preserve"> (</w:t>
      </w:r>
      <w:proofErr w:type="spellStart"/>
      <w:r>
        <w:t>Benečija</w:t>
      </w:r>
      <w:proofErr w:type="spellEnd"/>
      <w:r>
        <w:t xml:space="preserve">) – </w:t>
      </w:r>
      <w:proofErr w:type="spellStart"/>
      <w:r w:rsidRPr="00E425F6">
        <w:rPr>
          <w:color w:val="0000FF"/>
        </w:rPr>
        <w:t>Lombardia</w:t>
      </w:r>
      <w:proofErr w:type="spellEnd"/>
      <w:r>
        <w:t xml:space="preserve"> (</w:t>
      </w:r>
      <w:proofErr w:type="spellStart"/>
      <w:r>
        <w:t>Lombardija</w:t>
      </w:r>
      <w:proofErr w:type="spellEnd"/>
      <w:r>
        <w:t xml:space="preserve">) – </w:t>
      </w:r>
      <w:proofErr w:type="spellStart"/>
      <w:r w:rsidRPr="00E425F6">
        <w:rPr>
          <w:color w:val="0000FF"/>
        </w:rPr>
        <w:t>Piemonte</w:t>
      </w:r>
      <w:proofErr w:type="spellEnd"/>
      <w:r>
        <w:t xml:space="preserve"> (</w:t>
      </w:r>
      <w:proofErr w:type="spellStart"/>
      <w:r w:rsidR="00E425F6">
        <w:t>Piemont</w:t>
      </w:r>
      <w:proofErr w:type="spellEnd"/>
      <w:r w:rsidR="00E425F6">
        <w:t xml:space="preserve">) </w:t>
      </w:r>
      <w:r>
        <w:t xml:space="preserve">– </w:t>
      </w:r>
      <w:r w:rsidRPr="00E425F6">
        <w:rPr>
          <w:color w:val="0000FF"/>
        </w:rPr>
        <w:t>Liguria</w:t>
      </w:r>
      <w:r>
        <w:t xml:space="preserve"> </w:t>
      </w:r>
    </w:p>
    <w:p w14:paraId="7D463B74" w14:textId="77777777" w:rsidR="00E425F6" w:rsidRDefault="00E425F6" w:rsidP="00FF34CB">
      <w:pPr>
        <w:spacing w:after="120" w:line="276" w:lineRule="auto"/>
        <w:ind w:left="1440" w:hanging="1440"/>
        <w:contextualSpacing/>
      </w:pPr>
      <w:r>
        <w:t>(</w:t>
      </w:r>
      <w:proofErr w:type="spellStart"/>
      <w:r>
        <w:t>Ligurija</w:t>
      </w:r>
      <w:proofErr w:type="spellEnd"/>
      <w:r>
        <w:t xml:space="preserve">) </w:t>
      </w:r>
      <w:r w:rsidR="00FF34CB">
        <w:t xml:space="preserve">– </w:t>
      </w:r>
      <w:r w:rsidR="00FF34CB" w:rsidRPr="00E425F6">
        <w:rPr>
          <w:color w:val="0000FF"/>
        </w:rPr>
        <w:t>Emilia Romagna</w:t>
      </w:r>
      <w:r w:rsidR="00FF34CB">
        <w:t xml:space="preserve"> </w:t>
      </w:r>
      <w:r>
        <w:t>(</w:t>
      </w:r>
      <w:proofErr w:type="spellStart"/>
      <w:r>
        <w:t>Emilija</w:t>
      </w:r>
      <w:proofErr w:type="spellEnd"/>
      <w:r>
        <w:t xml:space="preserve"> </w:t>
      </w:r>
      <w:proofErr w:type="spellStart"/>
      <w:r>
        <w:t>Romanja</w:t>
      </w:r>
      <w:proofErr w:type="spellEnd"/>
      <w:r>
        <w:t xml:space="preserve">) </w:t>
      </w:r>
      <w:r w:rsidR="00FF34CB">
        <w:t xml:space="preserve">– </w:t>
      </w:r>
      <w:r w:rsidR="00FF34CB" w:rsidRPr="00E425F6">
        <w:rPr>
          <w:color w:val="0000FF"/>
        </w:rPr>
        <w:t>Toscana</w:t>
      </w:r>
      <w:r w:rsidR="00FF34CB">
        <w:t xml:space="preserve"> </w:t>
      </w:r>
      <w:r>
        <w:t>(</w:t>
      </w:r>
      <w:proofErr w:type="spellStart"/>
      <w:r>
        <w:t>Toskana</w:t>
      </w:r>
      <w:proofErr w:type="spellEnd"/>
      <w:r>
        <w:t xml:space="preserve">) </w:t>
      </w:r>
      <w:r w:rsidR="00FF34CB">
        <w:t xml:space="preserve">– </w:t>
      </w:r>
      <w:r w:rsidR="00FF34CB" w:rsidRPr="00E425F6">
        <w:rPr>
          <w:color w:val="0000FF"/>
        </w:rPr>
        <w:t>Marche</w:t>
      </w:r>
      <w:r w:rsidR="00FF34CB">
        <w:t xml:space="preserve"> </w:t>
      </w:r>
    </w:p>
    <w:p w14:paraId="32865E17" w14:textId="77777777" w:rsidR="00E425F6" w:rsidRDefault="00E425F6" w:rsidP="00E425F6">
      <w:pPr>
        <w:spacing w:after="120" w:line="276" w:lineRule="auto"/>
        <w:ind w:left="1440" w:hanging="1440"/>
        <w:contextualSpacing/>
      </w:pPr>
      <w:r>
        <w:t>(</w:t>
      </w:r>
      <w:proofErr w:type="spellStart"/>
      <w:r>
        <w:t>Marke</w:t>
      </w:r>
      <w:proofErr w:type="spellEnd"/>
      <w:r>
        <w:t xml:space="preserve">) </w:t>
      </w:r>
      <w:r w:rsidR="00FF34CB">
        <w:t xml:space="preserve">– </w:t>
      </w:r>
      <w:r w:rsidR="00FF34CB" w:rsidRPr="00E425F6">
        <w:rPr>
          <w:color w:val="0000FF"/>
        </w:rPr>
        <w:t>Umbria</w:t>
      </w:r>
      <w:r>
        <w:t xml:space="preserve"> (</w:t>
      </w:r>
      <w:proofErr w:type="spellStart"/>
      <w:r>
        <w:t>Umbrija</w:t>
      </w:r>
      <w:proofErr w:type="spellEnd"/>
      <w:r>
        <w:t>)</w:t>
      </w:r>
      <w:r w:rsidR="00FF34CB">
        <w:t xml:space="preserve"> – </w:t>
      </w:r>
      <w:r w:rsidR="00FF34CB" w:rsidRPr="00E425F6">
        <w:rPr>
          <w:color w:val="0000FF"/>
        </w:rPr>
        <w:t>Lazio</w:t>
      </w:r>
      <w:r w:rsidR="00FF34CB">
        <w:t xml:space="preserve"> </w:t>
      </w:r>
      <w:r>
        <w:t>(</w:t>
      </w:r>
      <w:proofErr w:type="spellStart"/>
      <w:r>
        <w:t>Lacij</w:t>
      </w:r>
      <w:proofErr w:type="spellEnd"/>
      <w:r>
        <w:t xml:space="preserve">) </w:t>
      </w:r>
      <w:r w:rsidR="00FF34CB">
        <w:t xml:space="preserve">– </w:t>
      </w:r>
      <w:proofErr w:type="spellStart"/>
      <w:r w:rsidR="00FF34CB" w:rsidRPr="00E425F6">
        <w:rPr>
          <w:color w:val="0000FF"/>
        </w:rPr>
        <w:t>Abruzzo</w:t>
      </w:r>
      <w:proofErr w:type="spellEnd"/>
      <w:r w:rsidR="00FF34CB">
        <w:t xml:space="preserve"> </w:t>
      </w:r>
      <w:r>
        <w:t>(</w:t>
      </w:r>
      <w:proofErr w:type="spellStart"/>
      <w:r>
        <w:t>Abruci</w:t>
      </w:r>
      <w:proofErr w:type="spellEnd"/>
      <w:r>
        <w:t xml:space="preserve">) </w:t>
      </w:r>
      <w:r w:rsidR="00FF34CB">
        <w:t xml:space="preserve">– </w:t>
      </w:r>
      <w:r w:rsidR="00FF34CB" w:rsidRPr="00E425F6">
        <w:rPr>
          <w:color w:val="0000FF"/>
        </w:rPr>
        <w:t>Molise</w:t>
      </w:r>
      <w:r w:rsidR="00FF34CB">
        <w:t xml:space="preserve"> </w:t>
      </w:r>
      <w:r>
        <w:t>(</w:t>
      </w:r>
      <w:proofErr w:type="spellStart"/>
      <w:r>
        <w:t>Molize</w:t>
      </w:r>
      <w:proofErr w:type="spellEnd"/>
      <w:r>
        <w:t xml:space="preserve">) </w:t>
      </w:r>
    </w:p>
    <w:p w14:paraId="73AB8AC5" w14:textId="77777777" w:rsidR="00E425F6" w:rsidRDefault="00FF34CB" w:rsidP="00E425F6">
      <w:pPr>
        <w:spacing w:after="120" w:line="276" w:lineRule="auto"/>
        <w:ind w:left="1440" w:hanging="1440"/>
        <w:contextualSpacing/>
      </w:pPr>
      <w:r>
        <w:t xml:space="preserve">– </w:t>
      </w:r>
      <w:r w:rsidRPr="00E425F6">
        <w:rPr>
          <w:color w:val="0000FF"/>
        </w:rPr>
        <w:t>Campania</w:t>
      </w:r>
      <w:r>
        <w:t xml:space="preserve"> </w:t>
      </w:r>
      <w:r w:rsidR="00E425F6">
        <w:t>(</w:t>
      </w:r>
      <w:proofErr w:type="spellStart"/>
      <w:r w:rsidR="00E425F6">
        <w:t>Kampanija</w:t>
      </w:r>
      <w:proofErr w:type="spellEnd"/>
      <w:r w:rsidR="00E425F6">
        <w:t xml:space="preserve">) </w:t>
      </w:r>
      <w:r>
        <w:t xml:space="preserve">– Puglia </w:t>
      </w:r>
      <w:r w:rsidR="00E425F6">
        <w:t>(</w:t>
      </w:r>
      <w:proofErr w:type="spellStart"/>
      <w:r w:rsidR="00E425F6">
        <w:t>Apulija</w:t>
      </w:r>
      <w:proofErr w:type="spellEnd"/>
      <w:r w:rsidR="00E425F6">
        <w:t xml:space="preserve">) </w:t>
      </w:r>
      <w:r>
        <w:t xml:space="preserve">– </w:t>
      </w:r>
      <w:r w:rsidRPr="00E425F6">
        <w:rPr>
          <w:color w:val="0000FF"/>
        </w:rPr>
        <w:t>Basilicata</w:t>
      </w:r>
      <w:r>
        <w:t xml:space="preserve"> </w:t>
      </w:r>
      <w:r w:rsidR="00E425F6">
        <w:t>(</w:t>
      </w:r>
      <w:proofErr w:type="spellStart"/>
      <w:r w:rsidR="00E425F6">
        <w:t>Bazilikata</w:t>
      </w:r>
      <w:proofErr w:type="spellEnd"/>
      <w:r w:rsidR="00E425F6">
        <w:t xml:space="preserve">) </w:t>
      </w:r>
      <w:r>
        <w:t xml:space="preserve">– </w:t>
      </w:r>
      <w:r w:rsidRPr="00E425F6">
        <w:rPr>
          <w:color w:val="0000FF"/>
        </w:rPr>
        <w:t>Calabria</w:t>
      </w:r>
      <w:r>
        <w:t xml:space="preserve"> </w:t>
      </w:r>
    </w:p>
    <w:p w14:paraId="11C8682B" w14:textId="16F78B99" w:rsidR="00C0744C" w:rsidRDefault="00E425F6" w:rsidP="00E425F6">
      <w:pPr>
        <w:spacing w:after="120" w:line="276" w:lineRule="auto"/>
        <w:ind w:left="1440" w:hanging="1440"/>
        <w:contextualSpacing/>
      </w:pPr>
      <w:r>
        <w:t>(</w:t>
      </w:r>
      <w:proofErr w:type="spellStart"/>
      <w:r>
        <w:t>Kalabrija</w:t>
      </w:r>
      <w:proofErr w:type="spellEnd"/>
      <w:r>
        <w:t>)</w:t>
      </w:r>
    </w:p>
    <w:p w14:paraId="4D651594" w14:textId="77777777" w:rsidR="00C0744C" w:rsidRDefault="00C0744C" w:rsidP="00E24907">
      <w:pPr>
        <w:spacing w:after="120" w:line="276" w:lineRule="auto"/>
        <w:ind w:left="1440" w:hanging="1440"/>
        <w:contextualSpacing/>
      </w:pPr>
    </w:p>
    <w:p w14:paraId="00855E68" w14:textId="0F6B4E1D" w:rsidR="00E24907" w:rsidRPr="00FF34CB" w:rsidRDefault="00041703" w:rsidP="00FF34CB">
      <w:pPr>
        <w:spacing w:after="120" w:line="276" w:lineRule="auto"/>
        <w:contextualSpacing/>
        <w:rPr>
          <w:color w:val="0000FF"/>
        </w:rPr>
      </w:pPr>
      <w:r w:rsidRPr="00FF34CB">
        <w:rPr>
          <w:color w:val="0000FF"/>
        </w:rPr>
        <w:t>5 s “</w:t>
      </w:r>
      <w:proofErr w:type="spellStart"/>
      <w:r w:rsidRPr="00FF34CB">
        <w:rPr>
          <w:color w:val="0000FF"/>
        </w:rPr>
        <w:t>posebnim</w:t>
      </w:r>
      <w:proofErr w:type="spellEnd"/>
      <w:r w:rsidRPr="00FF34CB">
        <w:rPr>
          <w:color w:val="0000FF"/>
        </w:rPr>
        <w:t xml:space="preserve">” </w:t>
      </w:r>
      <w:proofErr w:type="spellStart"/>
      <w:r w:rsidR="00FF34CB" w:rsidRPr="00FF34CB">
        <w:rPr>
          <w:color w:val="0000FF"/>
        </w:rPr>
        <w:t>statusom</w:t>
      </w:r>
      <w:proofErr w:type="spellEnd"/>
      <w:r w:rsidR="00FF34CB" w:rsidRPr="00FF34CB">
        <w:rPr>
          <w:color w:val="0000FF"/>
        </w:rPr>
        <w:t>:</w:t>
      </w:r>
    </w:p>
    <w:p w14:paraId="1A8F398D" w14:textId="77777777" w:rsidR="00E425F6" w:rsidRDefault="00FF34CB" w:rsidP="00E24907">
      <w:pPr>
        <w:spacing w:after="120" w:line="276" w:lineRule="auto"/>
        <w:ind w:left="1440" w:hanging="1440"/>
        <w:contextualSpacing/>
        <w:rPr>
          <w:rFonts w:ascii="Cambria" w:hAnsi="Cambria"/>
        </w:rPr>
      </w:pPr>
      <w:proofErr w:type="spellStart"/>
      <w:r w:rsidRPr="00E425F6">
        <w:rPr>
          <w:color w:val="0000FF"/>
        </w:rPr>
        <w:t>Sardegna</w:t>
      </w:r>
      <w:proofErr w:type="spellEnd"/>
      <w:r w:rsidR="00E425F6" w:rsidRPr="00E425F6">
        <w:t xml:space="preserve"> (</w:t>
      </w:r>
      <w:proofErr w:type="spellStart"/>
      <w:r w:rsidR="00E425F6" w:rsidRPr="00E425F6">
        <w:t>Sardinija</w:t>
      </w:r>
      <w:proofErr w:type="spellEnd"/>
      <w:r w:rsidR="00E425F6" w:rsidRPr="00E425F6">
        <w:t xml:space="preserve">) </w:t>
      </w:r>
      <w:r w:rsidR="00E425F6">
        <w:t>–</w:t>
      </w:r>
      <w:r w:rsidR="00E24907" w:rsidRPr="00E425F6">
        <w:t xml:space="preserve"> </w:t>
      </w:r>
      <w:r w:rsidR="00E425F6" w:rsidRPr="00E425F6">
        <w:rPr>
          <w:color w:val="0000FF"/>
        </w:rPr>
        <w:t>Sicilia</w:t>
      </w:r>
      <w:r w:rsidR="00E425F6">
        <w:t xml:space="preserve"> (</w:t>
      </w:r>
      <w:proofErr w:type="spellStart"/>
      <w:r w:rsidR="00E24907" w:rsidRPr="00E425F6">
        <w:t>Sicilija</w:t>
      </w:r>
      <w:proofErr w:type="spellEnd"/>
      <w:r w:rsidR="00E425F6">
        <w:t>)</w:t>
      </w:r>
      <w:r w:rsidR="00E24907" w:rsidRPr="00E425F6">
        <w:t xml:space="preserve"> </w:t>
      </w:r>
      <w:r w:rsidR="00E425F6">
        <w:t>–</w:t>
      </w:r>
      <w:r w:rsidR="00E425F6">
        <w:t xml:space="preserve"> </w:t>
      </w:r>
      <w:r w:rsidR="00E24907" w:rsidRPr="00E425F6">
        <w:rPr>
          <w:color w:val="0000FF"/>
        </w:rPr>
        <w:t>Trentino-Alto-Adige</w:t>
      </w:r>
      <w:r w:rsidR="00E24907" w:rsidRPr="00E425F6">
        <w:t>/</w:t>
      </w:r>
      <w:proofErr w:type="spellStart"/>
      <w:r w:rsidR="00E24907" w:rsidRPr="00E425F6">
        <w:rPr>
          <w:color w:val="0000FF"/>
        </w:rPr>
        <w:t>S</w:t>
      </w:r>
      <w:r w:rsidR="00E24907" w:rsidRPr="00E425F6">
        <w:rPr>
          <w:rFonts w:ascii="Cambria" w:hAnsi="Cambria"/>
          <w:color w:val="0000FF"/>
        </w:rPr>
        <w:t>üdtirol</w:t>
      </w:r>
      <w:proofErr w:type="spellEnd"/>
      <w:r w:rsidR="00E24907" w:rsidRPr="00E425F6">
        <w:rPr>
          <w:rFonts w:ascii="Cambria" w:hAnsi="Cambria"/>
        </w:rPr>
        <w:t xml:space="preserve"> </w:t>
      </w:r>
    </w:p>
    <w:p w14:paraId="2C516240" w14:textId="45460E26" w:rsidR="00576DE0" w:rsidRDefault="00E425F6" w:rsidP="00E425F6">
      <w:pPr>
        <w:spacing w:after="120" w:line="276" w:lineRule="auto"/>
        <w:ind w:left="1440" w:hanging="1440"/>
        <w:contextualSpacing/>
        <w:rPr>
          <w:rFonts w:ascii="Cambria" w:hAnsi="Cambria"/>
        </w:rPr>
      </w:pPr>
      <w:r>
        <w:rPr>
          <w:rFonts w:ascii="Cambria" w:hAnsi="Cambria"/>
        </w:rPr>
        <w:t>(</w:t>
      </w:r>
      <w:proofErr w:type="spellStart"/>
      <w:r>
        <w:rPr>
          <w:rFonts w:eastAsia="Times New Roman" w:cs="Times New Roman"/>
        </w:rPr>
        <w:t>Trentinsko</w:t>
      </w:r>
      <w:proofErr w:type="spellEnd"/>
      <w:r>
        <w:rPr>
          <w:rFonts w:eastAsia="Times New Roman" w:cs="Times New Roman"/>
        </w:rPr>
        <w:t xml:space="preserve"> - </w:t>
      </w:r>
      <w:proofErr w:type="spellStart"/>
      <w:r>
        <w:rPr>
          <w:rFonts w:eastAsia="Times New Roman" w:cs="Times New Roman"/>
        </w:rPr>
        <w:t>Zgornje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Poadižje</w:t>
      </w:r>
      <w:proofErr w:type="spellEnd"/>
      <w:r w:rsidR="00576DE0">
        <w:rPr>
          <w:rFonts w:ascii="Cambria" w:hAnsi="Cambria"/>
        </w:rPr>
        <w:t xml:space="preserve">): </w:t>
      </w:r>
      <w:proofErr w:type="spellStart"/>
      <w:r w:rsidR="00576DE0">
        <w:rPr>
          <w:rFonts w:eastAsia="Times New Roman" w:cs="Times New Roman"/>
        </w:rPr>
        <w:t>obe</w:t>
      </w:r>
      <w:proofErr w:type="spellEnd"/>
      <w:r w:rsidR="00576DE0">
        <w:rPr>
          <w:rFonts w:eastAsia="Times New Roman" w:cs="Times New Roman"/>
        </w:rPr>
        <w:t xml:space="preserve"> </w:t>
      </w:r>
      <w:proofErr w:type="spellStart"/>
      <w:r w:rsidR="00576DE0">
        <w:rPr>
          <w:rFonts w:eastAsia="Times New Roman" w:cs="Times New Roman"/>
        </w:rPr>
        <w:t>njeni</w:t>
      </w:r>
      <w:proofErr w:type="spellEnd"/>
      <w:r w:rsidR="00576DE0">
        <w:rPr>
          <w:rFonts w:eastAsia="Times New Roman" w:cs="Times New Roman"/>
        </w:rPr>
        <w:t xml:space="preserve"> </w:t>
      </w:r>
      <w:proofErr w:type="spellStart"/>
      <w:r w:rsidR="00576DE0">
        <w:rPr>
          <w:rFonts w:eastAsia="Times New Roman" w:cs="Times New Roman"/>
        </w:rPr>
        <w:t>pokrajini</w:t>
      </w:r>
      <w:proofErr w:type="spellEnd"/>
      <w:r>
        <w:rPr>
          <w:rFonts w:ascii="Cambria" w:hAnsi="Cambria"/>
        </w:rPr>
        <w:t xml:space="preserve"> </w:t>
      </w:r>
      <w:r w:rsidR="00576DE0" w:rsidRPr="00576DE0">
        <w:rPr>
          <w:rFonts w:ascii="Cambria" w:hAnsi="Cambria"/>
          <w:color w:val="0000FF"/>
        </w:rPr>
        <w:t>Trento</w:t>
      </w:r>
      <w:r w:rsidR="00576DE0">
        <w:rPr>
          <w:rFonts w:ascii="Cambria" w:hAnsi="Cambria"/>
        </w:rPr>
        <w:t xml:space="preserve"> in </w:t>
      </w:r>
      <w:proofErr w:type="spellStart"/>
      <w:r w:rsidR="00576DE0" w:rsidRPr="00576DE0">
        <w:rPr>
          <w:rFonts w:ascii="Cambria" w:hAnsi="Cambria"/>
          <w:color w:val="0000FF"/>
        </w:rPr>
        <w:t>Bozen</w:t>
      </w:r>
      <w:proofErr w:type="spellEnd"/>
      <w:r w:rsidR="00576DE0">
        <w:rPr>
          <w:rFonts w:ascii="Cambria" w:hAnsi="Cambria"/>
        </w:rPr>
        <w:t xml:space="preserve"> (</w:t>
      </w:r>
      <w:proofErr w:type="spellStart"/>
      <w:r w:rsidR="00576DE0">
        <w:rPr>
          <w:rFonts w:ascii="Cambria" w:hAnsi="Cambria"/>
        </w:rPr>
        <w:t>Bocen</w:t>
      </w:r>
      <w:proofErr w:type="spellEnd"/>
      <w:r w:rsidR="00576DE0">
        <w:rPr>
          <w:rFonts w:ascii="Cambria" w:hAnsi="Cambria"/>
        </w:rPr>
        <w:t xml:space="preserve">) </w:t>
      </w:r>
      <w:bookmarkStart w:id="0" w:name="_GoBack"/>
      <w:bookmarkEnd w:id="0"/>
      <w:proofErr w:type="spellStart"/>
      <w:r w:rsidR="00576DE0">
        <w:rPr>
          <w:rFonts w:ascii="Cambria" w:hAnsi="Cambria"/>
        </w:rPr>
        <w:t>sta</w:t>
      </w:r>
      <w:proofErr w:type="spellEnd"/>
      <w:r w:rsidR="00576DE0">
        <w:rPr>
          <w:rFonts w:ascii="Cambria" w:hAnsi="Cambria"/>
        </w:rPr>
        <w:t xml:space="preserve"> </w:t>
      </w:r>
    </w:p>
    <w:p w14:paraId="4B3F9DCF" w14:textId="493304A5" w:rsidR="00E425F6" w:rsidRDefault="00576DE0" w:rsidP="00E425F6">
      <w:pPr>
        <w:spacing w:after="120" w:line="276" w:lineRule="auto"/>
        <w:ind w:left="1440" w:hanging="1440"/>
        <w:contextualSpacing/>
        <w:rPr>
          <w:rFonts w:ascii="Cambria" w:hAnsi="Cambria"/>
        </w:rPr>
      </w:pPr>
      <w:proofErr w:type="spellStart"/>
      <w:proofErr w:type="gramStart"/>
      <w:r>
        <w:rPr>
          <w:rFonts w:ascii="Cambria" w:hAnsi="Cambria"/>
        </w:rPr>
        <w:t>avtonomni</w:t>
      </w:r>
      <w:proofErr w:type="spellEnd"/>
      <w:proofErr w:type="gramEnd"/>
      <w:r>
        <w:rPr>
          <w:rFonts w:ascii="Cambria" w:hAnsi="Cambria"/>
        </w:rPr>
        <w:t xml:space="preserve"> </w:t>
      </w:r>
      <w:r w:rsidR="00E425F6">
        <w:t>–</w:t>
      </w:r>
      <w:r w:rsidR="00E425F6">
        <w:t xml:space="preserve"> </w:t>
      </w:r>
      <w:r w:rsidR="00E24907" w:rsidRPr="00E425F6">
        <w:rPr>
          <w:rFonts w:ascii="Cambria" w:hAnsi="Cambria"/>
          <w:color w:val="0000FF"/>
        </w:rPr>
        <w:t>Valle d’Aosta</w:t>
      </w:r>
      <w:r w:rsidR="00E24907" w:rsidRPr="00E425F6">
        <w:rPr>
          <w:rFonts w:ascii="Cambria" w:hAnsi="Cambria"/>
        </w:rPr>
        <w:t>/</w:t>
      </w:r>
      <w:proofErr w:type="spellStart"/>
      <w:r w:rsidR="00E24907" w:rsidRPr="00E425F6">
        <w:rPr>
          <w:rFonts w:ascii="Cambria" w:hAnsi="Cambria"/>
          <w:color w:val="0000FF"/>
        </w:rPr>
        <w:t>Vallée</w:t>
      </w:r>
      <w:proofErr w:type="spellEnd"/>
      <w:r w:rsidR="00E24907" w:rsidRPr="00E425F6">
        <w:rPr>
          <w:rFonts w:ascii="Cambria" w:hAnsi="Cambria"/>
          <w:color w:val="0000FF"/>
        </w:rPr>
        <w:t xml:space="preserve"> </w:t>
      </w:r>
      <w:proofErr w:type="spellStart"/>
      <w:r w:rsidR="00E24907" w:rsidRPr="00E425F6">
        <w:rPr>
          <w:rFonts w:ascii="Cambria" w:hAnsi="Cambria"/>
          <w:color w:val="0000FF"/>
        </w:rPr>
        <w:t>d’Aoste</w:t>
      </w:r>
      <w:proofErr w:type="spellEnd"/>
      <w:r w:rsidR="00E24907" w:rsidRPr="00E425F6">
        <w:rPr>
          <w:rFonts w:ascii="Cambria" w:hAnsi="Cambria"/>
        </w:rPr>
        <w:t xml:space="preserve"> </w:t>
      </w:r>
      <w:r w:rsidR="00E425F6">
        <w:rPr>
          <w:rFonts w:ascii="Cambria" w:hAnsi="Cambria"/>
        </w:rPr>
        <w:t>(</w:t>
      </w:r>
      <w:proofErr w:type="spellStart"/>
      <w:r w:rsidR="00E425F6">
        <w:rPr>
          <w:rFonts w:eastAsia="Times New Roman" w:cs="Times New Roman"/>
        </w:rPr>
        <w:t>Dolina</w:t>
      </w:r>
      <w:proofErr w:type="spellEnd"/>
      <w:r w:rsidR="00E425F6">
        <w:rPr>
          <w:rFonts w:eastAsia="Times New Roman" w:cs="Times New Roman"/>
        </w:rPr>
        <w:t xml:space="preserve"> </w:t>
      </w:r>
      <w:proofErr w:type="spellStart"/>
      <w:r w:rsidR="00E425F6">
        <w:rPr>
          <w:rFonts w:eastAsia="Times New Roman" w:cs="Times New Roman"/>
        </w:rPr>
        <w:t>Aoste</w:t>
      </w:r>
      <w:proofErr w:type="spellEnd"/>
      <w:r w:rsidR="00E425F6">
        <w:rPr>
          <w:rFonts w:eastAsia="Times New Roman" w:cs="Times New Roman"/>
        </w:rPr>
        <w:t xml:space="preserve">) </w:t>
      </w:r>
      <w:proofErr w:type="spellStart"/>
      <w:r w:rsidR="00E24907" w:rsidRPr="00E425F6">
        <w:rPr>
          <w:rFonts w:ascii="Cambria" w:hAnsi="Cambria"/>
        </w:rPr>
        <w:t>že</w:t>
      </w:r>
      <w:proofErr w:type="spellEnd"/>
      <w:r w:rsidR="00E24907" w:rsidRPr="00E425F6">
        <w:rPr>
          <w:rFonts w:ascii="Cambria" w:hAnsi="Cambria"/>
        </w:rPr>
        <w:t xml:space="preserve"> </w:t>
      </w:r>
    </w:p>
    <w:p w14:paraId="44C0416F" w14:textId="77777777" w:rsidR="00E425F6" w:rsidRDefault="00E24907" w:rsidP="00E425F6">
      <w:pPr>
        <w:spacing w:after="120" w:line="276" w:lineRule="auto"/>
        <w:ind w:left="1440" w:hanging="1440"/>
        <w:contextualSpacing/>
        <w:rPr>
          <w:rFonts w:ascii="Cambria" w:hAnsi="Cambria"/>
        </w:rPr>
      </w:pPr>
      <w:proofErr w:type="gramStart"/>
      <w:r w:rsidRPr="00E425F6">
        <w:rPr>
          <w:rFonts w:ascii="Cambria" w:hAnsi="Cambria"/>
        </w:rPr>
        <w:t>z</w:t>
      </w:r>
      <w:proofErr w:type="gramEnd"/>
      <w:r w:rsidRPr="00E425F6">
        <w:rPr>
          <w:rFonts w:ascii="Cambria" w:hAnsi="Cambria"/>
        </w:rPr>
        <w:t xml:space="preserve"> </w:t>
      </w:r>
      <w:proofErr w:type="spellStart"/>
      <w:r w:rsidRPr="00E425F6">
        <w:rPr>
          <w:rFonts w:ascii="Cambria" w:hAnsi="Cambria"/>
        </w:rPr>
        <w:t>Ustavo</w:t>
      </w:r>
      <w:proofErr w:type="spellEnd"/>
      <w:r w:rsidRPr="00E425F6">
        <w:rPr>
          <w:rFonts w:ascii="Cambria" w:hAnsi="Cambria"/>
        </w:rPr>
        <w:t xml:space="preserve"> l. 1948 </w:t>
      </w:r>
      <w:r w:rsidR="00E425F6">
        <w:t>–</w:t>
      </w:r>
      <w:r w:rsidRPr="00E425F6">
        <w:rPr>
          <w:rFonts w:ascii="Cambria" w:hAnsi="Cambria"/>
        </w:rPr>
        <w:t xml:space="preserve"> </w:t>
      </w:r>
      <w:r w:rsidR="00E425F6" w:rsidRPr="00E425F6">
        <w:rPr>
          <w:rFonts w:ascii="Cambria" w:hAnsi="Cambria"/>
          <w:color w:val="0000FF"/>
        </w:rPr>
        <w:t xml:space="preserve">Friuli </w:t>
      </w:r>
      <w:proofErr w:type="spellStart"/>
      <w:r w:rsidR="00E425F6" w:rsidRPr="00E425F6">
        <w:rPr>
          <w:rFonts w:ascii="Cambria" w:hAnsi="Cambria"/>
          <w:color w:val="0000FF"/>
        </w:rPr>
        <w:t>Venezia</w:t>
      </w:r>
      <w:proofErr w:type="spellEnd"/>
      <w:r w:rsidR="00E425F6" w:rsidRPr="00E425F6">
        <w:rPr>
          <w:rFonts w:ascii="Cambria" w:hAnsi="Cambria"/>
          <w:color w:val="0000FF"/>
        </w:rPr>
        <w:t xml:space="preserve"> Giulia</w:t>
      </w:r>
      <w:r w:rsidR="00E425F6" w:rsidRPr="00E425F6">
        <w:rPr>
          <w:rFonts w:ascii="Cambria" w:hAnsi="Cambria"/>
        </w:rPr>
        <w:t xml:space="preserve"> </w:t>
      </w:r>
      <w:r w:rsidR="00E425F6">
        <w:rPr>
          <w:rFonts w:ascii="Cambria" w:hAnsi="Cambria"/>
        </w:rPr>
        <w:t>(</w:t>
      </w:r>
      <w:proofErr w:type="spellStart"/>
      <w:r w:rsidR="00E425F6">
        <w:rPr>
          <w:rFonts w:ascii="Cambria" w:hAnsi="Cambria"/>
        </w:rPr>
        <w:t>Furlanija</w:t>
      </w:r>
      <w:proofErr w:type="spellEnd"/>
      <w:r w:rsidR="00E425F6">
        <w:rPr>
          <w:rFonts w:ascii="Cambria" w:hAnsi="Cambria"/>
        </w:rPr>
        <w:t xml:space="preserve"> </w:t>
      </w:r>
      <w:proofErr w:type="spellStart"/>
      <w:r w:rsidR="00E425F6">
        <w:rPr>
          <w:rFonts w:ascii="Cambria" w:hAnsi="Cambria"/>
        </w:rPr>
        <w:t>Julijska</w:t>
      </w:r>
      <w:proofErr w:type="spellEnd"/>
      <w:r w:rsidR="00E425F6">
        <w:rPr>
          <w:rFonts w:ascii="Cambria" w:hAnsi="Cambria"/>
        </w:rPr>
        <w:t xml:space="preserve"> </w:t>
      </w:r>
      <w:proofErr w:type="spellStart"/>
      <w:r w:rsidR="00E425F6">
        <w:rPr>
          <w:rFonts w:ascii="Cambria" w:hAnsi="Cambria"/>
        </w:rPr>
        <w:t>Krajina</w:t>
      </w:r>
      <w:proofErr w:type="spellEnd"/>
      <w:r w:rsidR="00E425F6">
        <w:rPr>
          <w:rFonts w:ascii="Cambria" w:hAnsi="Cambria"/>
        </w:rPr>
        <w:t>) l. 1963</w:t>
      </w:r>
      <w:r>
        <w:rPr>
          <w:rFonts w:ascii="Cambria" w:hAnsi="Cambria"/>
        </w:rPr>
        <w:t xml:space="preserve">. </w:t>
      </w:r>
    </w:p>
    <w:p w14:paraId="2DAE5DEF" w14:textId="77777777" w:rsidR="00E425F6" w:rsidRDefault="00E24907" w:rsidP="00E425F6">
      <w:pPr>
        <w:spacing w:after="120" w:line="276" w:lineRule="auto"/>
        <w:ind w:left="1440" w:hanging="1440"/>
        <w:contextualSpacing/>
        <w:rPr>
          <w:rFonts w:ascii="Cambria" w:hAnsi="Cambria"/>
        </w:rPr>
      </w:pPr>
      <w:proofErr w:type="spellStart"/>
      <w:r>
        <w:rPr>
          <w:rFonts w:ascii="Cambria" w:hAnsi="Cambria"/>
        </w:rPr>
        <w:t>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dežele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imajo</w:t>
      </w:r>
      <w:proofErr w:type="spellEnd"/>
      <w:r w:rsidR="00E425F6">
        <w:rPr>
          <w:rFonts w:ascii="Cambria" w:hAnsi="Cambria"/>
        </w:rPr>
        <w:t xml:space="preserve"> </w:t>
      </w:r>
      <w:proofErr w:type="spellStart"/>
      <w:r w:rsidR="00E425F6">
        <w:rPr>
          <w:rFonts w:ascii="Cambria" w:hAnsi="Cambria"/>
        </w:rPr>
        <w:t>večjo</w:t>
      </w:r>
      <w:proofErr w:type="spellEnd"/>
      <w:r w:rsidR="00E425F6">
        <w:rPr>
          <w:rFonts w:ascii="Cambria" w:hAnsi="Cambria"/>
        </w:rPr>
        <w:t xml:space="preserve"> </w:t>
      </w:r>
      <w:proofErr w:type="spellStart"/>
      <w:r w:rsidR="00E425F6">
        <w:rPr>
          <w:rFonts w:ascii="Cambria" w:hAnsi="Cambria"/>
        </w:rPr>
        <w:t>finančno</w:t>
      </w:r>
      <w:proofErr w:type="spellEnd"/>
      <w:r w:rsidR="00E425F6">
        <w:rPr>
          <w:rFonts w:ascii="Cambria" w:hAnsi="Cambria"/>
        </w:rPr>
        <w:t xml:space="preserve"> </w:t>
      </w:r>
      <w:proofErr w:type="spellStart"/>
      <w:r w:rsidR="00E425F6">
        <w:rPr>
          <w:rFonts w:ascii="Cambria" w:hAnsi="Cambria"/>
        </w:rPr>
        <w:t>podporo</w:t>
      </w:r>
      <w:proofErr w:type="spellEnd"/>
      <w:r w:rsidR="00E425F6">
        <w:rPr>
          <w:rFonts w:ascii="Cambria" w:hAnsi="Cambria"/>
        </w:rPr>
        <w:t xml:space="preserve"> </w:t>
      </w:r>
      <w:proofErr w:type="gramStart"/>
      <w:r w:rsidR="00E425F6">
        <w:rPr>
          <w:rFonts w:ascii="Cambria" w:hAnsi="Cambria"/>
        </w:rPr>
        <w:t>od</w:t>
      </w:r>
      <w:proofErr w:type="gramEnd"/>
      <w:r w:rsidR="00E425F6">
        <w:rPr>
          <w:rFonts w:ascii="Cambria" w:hAnsi="Cambria"/>
        </w:rPr>
        <w:t xml:space="preserve"> </w:t>
      </w:r>
      <w:proofErr w:type="spellStart"/>
      <w:r w:rsidR="00E425F6">
        <w:rPr>
          <w:rFonts w:ascii="Cambria" w:hAnsi="Cambria"/>
        </w:rPr>
        <w:t>države</w:t>
      </w:r>
      <w:proofErr w:type="spellEnd"/>
      <w:r w:rsidR="00E425F6">
        <w:rPr>
          <w:rFonts w:ascii="Cambria" w:hAnsi="Cambria"/>
        </w:rPr>
        <w:t xml:space="preserve"> in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posebno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avtonomijo</w:t>
      </w:r>
      <w:proofErr w:type="spellEnd"/>
      <w:r>
        <w:rPr>
          <w:rFonts w:ascii="Cambria" w:hAnsi="Cambria"/>
        </w:rPr>
        <w:t xml:space="preserve"> </w:t>
      </w:r>
    </w:p>
    <w:p w14:paraId="430F8815" w14:textId="77777777" w:rsidR="00E425F6" w:rsidRDefault="00E24907" w:rsidP="00E425F6">
      <w:pPr>
        <w:spacing w:after="120" w:line="276" w:lineRule="auto"/>
        <w:ind w:left="1440" w:hanging="1440"/>
        <w:contextualSpacing/>
        <w:rPr>
          <w:rFonts w:ascii="Cambria" w:hAnsi="Cambria"/>
        </w:rPr>
      </w:pPr>
      <w:r>
        <w:rPr>
          <w:rFonts w:ascii="Cambria" w:hAnsi="Cambria"/>
        </w:rPr>
        <w:t>(</w:t>
      </w:r>
      <w:proofErr w:type="spellStart"/>
      <w:proofErr w:type="gramStart"/>
      <w:r>
        <w:rPr>
          <w:rFonts w:ascii="Cambria" w:hAnsi="Cambria"/>
        </w:rPr>
        <w:t>vglavnem</w:t>
      </w:r>
      <w:proofErr w:type="spellEnd"/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zaradi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teritorijalnih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posebnosti</w:t>
      </w:r>
      <w:proofErr w:type="spellEnd"/>
      <w:r>
        <w:rPr>
          <w:rFonts w:ascii="Cambria" w:hAnsi="Cambria"/>
        </w:rPr>
        <w:t xml:space="preserve">: v </w:t>
      </w:r>
      <w:proofErr w:type="spellStart"/>
      <w:r>
        <w:rPr>
          <w:rFonts w:ascii="Cambria" w:hAnsi="Cambria"/>
        </w:rPr>
        <w:t>treh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obmejnih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deželah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živijo</w:t>
      </w:r>
      <w:proofErr w:type="spellEnd"/>
      <w:r>
        <w:rPr>
          <w:rFonts w:ascii="Cambria" w:hAnsi="Cambria"/>
        </w:rPr>
        <w:t xml:space="preserve"> </w:t>
      </w:r>
    </w:p>
    <w:p w14:paraId="2003141F" w14:textId="68FD1A43" w:rsidR="00041703" w:rsidRPr="00E425F6" w:rsidRDefault="00E24907" w:rsidP="00E425F6">
      <w:pPr>
        <w:spacing w:after="120" w:line="276" w:lineRule="auto"/>
        <w:ind w:left="1440" w:hanging="1440"/>
        <w:contextualSpacing/>
        <w:rPr>
          <w:rFonts w:ascii="Cambria" w:hAnsi="Cambria"/>
        </w:rPr>
      </w:pPr>
      <w:proofErr w:type="spellStart"/>
      <w:proofErr w:type="gramStart"/>
      <w:r>
        <w:rPr>
          <w:rFonts w:ascii="Cambria" w:hAnsi="Cambria"/>
        </w:rPr>
        <w:t>manjšine</w:t>
      </w:r>
      <w:proofErr w:type="spellEnd"/>
      <w:proofErr w:type="gramEnd"/>
      <w:r>
        <w:rPr>
          <w:rFonts w:ascii="Cambria" w:hAnsi="Cambria"/>
        </w:rPr>
        <w:t xml:space="preserve"> </w:t>
      </w:r>
      <w:r w:rsidR="007D317C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večjezičnost</w:t>
      </w:r>
      <w:proofErr w:type="spellEnd"/>
      <w:r w:rsidR="007D317C">
        <w:rPr>
          <w:rFonts w:ascii="Cambria" w:hAnsi="Cambria"/>
        </w:rPr>
        <w:t xml:space="preserve">; </w:t>
      </w:r>
      <w:proofErr w:type="spellStart"/>
      <w:r w:rsidR="007D317C">
        <w:rPr>
          <w:rFonts w:ascii="Cambria" w:hAnsi="Cambria"/>
        </w:rPr>
        <w:t>večkulturnost</w:t>
      </w:r>
      <w:proofErr w:type="spellEnd"/>
      <w:r w:rsidR="007D317C">
        <w:rPr>
          <w:rFonts w:ascii="Cambria" w:hAnsi="Cambria"/>
        </w:rPr>
        <w:t xml:space="preserve">. </w:t>
      </w:r>
      <w:proofErr w:type="spellStart"/>
      <w:proofErr w:type="gramStart"/>
      <w:r w:rsidR="007D317C">
        <w:rPr>
          <w:rFonts w:ascii="Cambria" w:hAnsi="Cambria"/>
        </w:rPr>
        <w:t>Ostali</w:t>
      </w:r>
      <w:proofErr w:type="spellEnd"/>
      <w:r w:rsidR="007D317C">
        <w:rPr>
          <w:rFonts w:ascii="Cambria" w:hAnsi="Cambria"/>
        </w:rPr>
        <w:t xml:space="preserve"> </w:t>
      </w:r>
      <w:proofErr w:type="spellStart"/>
      <w:r w:rsidR="007D317C">
        <w:rPr>
          <w:rFonts w:ascii="Cambria" w:hAnsi="Cambria"/>
        </w:rPr>
        <w:t>dve</w:t>
      </w:r>
      <w:proofErr w:type="spellEnd"/>
      <w:r w:rsidR="007D317C">
        <w:rPr>
          <w:rFonts w:ascii="Cambria" w:hAnsi="Cambria"/>
        </w:rPr>
        <w:t xml:space="preserve"> </w:t>
      </w:r>
      <w:proofErr w:type="spellStart"/>
      <w:r w:rsidR="007D317C">
        <w:rPr>
          <w:rFonts w:ascii="Cambria" w:hAnsi="Cambria"/>
        </w:rPr>
        <w:t>sta</w:t>
      </w:r>
      <w:proofErr w:type="spellEnd"/>
      <w:r w:rsidR="007D317C">
        <w:rPr>
          <w:rFonts w:ascii="Cambria" w:hAnsi="Cambria"/>
        </w:rPr>
        <w:t xml:space="preserve"> pa </w:t>
      </w:r>
      <w:proofErr w:type="spellStart"/>
      <w:r w:rsidR="007D317C">
        <w:rPr>
          <w:rFonts w:ascii="Cambria" w:hAnsi="Cambria"/>
        </w:rPr>
        <w:t>dva</w:t>
      </w:r>
      <w:proofErr w:type="spellEnd"/>
      <w:r w:rsidR="007D317C">
        <w:rPr>
          <w:rFonts w:ascii="Cambria" w:hAnsi="Cambria"/>
        </w:rPr>
        <w:t xml:space="preserve"> </w:t>
      </w:r>
      <w:proofErr w:type="spellStart"/>
      <w:r w:rsidR="007D317C">
        <w:rPr>
          <w:rFonts w:ascii="Cambria" w:hAnsi="Cambria"/>
        </w:rPr>
        <w:t>velika</w:t>
      </w:r>
      <w:proofErr w:type="spellEnd"/>
      <w:r w:rsidR="007D317C">
        <w:rPr>
          <w:rFonts w:ascii="Cambria" w:hAnsi="Cambria"/>
        </w:rPr>
        <w:t xml:space="preserve"> </w:t>
      </w:r>
      <w:proofErr w:type="spellStart"/>
      <w:r w:rsidR="007D317C">
        <w:rPr>
          <w:rFonts w:ascii="Cambria" w:hAnsi="Cambria"/>
        </w:rPr>
        <w:t>otoka</w:t>
      </w:r>
      <w:proofErr w:type="spellEnd"/>
      <w:r>
        <w:rPr>
          <w:rFonts w:ascii="Cambria" w:hAnsi="Cambria"/>
        </w:rPr>
        <w:t>)</w:t>
      </w:r>
      <w:r w:rsidR="007D317C">
        <w:rPr>
          <w:rFonts w:ascii="Cambria" w:hAnsi="Cambria"/>
        </w:rPr>
        <w:t>.</w:t>
      </w:r>
      <w:proofErr w:type="gramEnd"/>
    </w:p>
    <w:p w14:paraId="3127BDEF" w14:textId="77777777" w:rsidR="007D317C" w:rsidRDefault="007D317C" w:rsidP="00E24907">
      <w:pPr>
        <w:spacing w:after="120" w:line="276" w:lineRule="auto"/>
        <w:ind w:left="1440" w:hanging="1440"/>
        <w:contextualSpacing/>
        <w:rPr>
          <w:rFonts w:ascii="Cambria" w:hAnsi="Cambria"/>
        </w:rPr>
      </w:pPr>
    </w:p>
    <w:p w14:paraId="5CAE370A" w14:textId="77777777" w:rsidR="007D317C" w:rsidRPr="00E24907" w:rsidRDefault="007D317C" w:rsidP="00E24907">
      <w:pPr>
        <w:spacing w:after="120" w:line="276" w:lineRule="auto"/>
        <w:ind w:left="1440" w:hanging="1440"/>
        <w:contextualSpacing/>
        <w:rPr>
          <w:rFonts w:ascii="Cambria" w:hAnsi="Cambria"/>
        </w:rPr>
      </w:pPr>
    </w:p>
    <w:sectPr w:rsidR="007D317C" w:rsidRPr="00E24907" w:rsidSect="009852F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03"/>
    <w:rsid w:val="00041703"/>
    <w:rsid w:val="00576DE0"/>
    <w:rsid w:val="005B51AC"/>
    <w:rsid w:val="007D317C"/>
    <w:rsid w:val="00950CA1"/>
    <w:rsid w:val="0095652F"/>
    <w:rsid w:val="009852FC"/>
    <w:rsid w:val="00C0744C"/>
    <w:rsid w:val="00E24907"/>
    <w:rsid w:val="00E425F6"/>
    <w:rsid w:val="00FF34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CB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2013-03-05T22:20:00Z</dcterms:created>
  <dcterms:modified xsi:type="dcterms:W3CDTF">2013-03-05T22:22:00Z</dcterms:modified>
</cp:coreProperties>
</file>