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b/>
          <w:noProof/>
          <w:sz w:val="28"/>
          <w:lang w:val="it-IT"/>
        </w:rPr>
      </w:pPr>
      <w:r>
        <w:rPr>
          <w:b/>
          <w:noProof/>
          <w:sz w:val="28"/>
          <w:lang w:val="it-IT"/>
        </w:rPr>
        <w:t>DIDAKTIČNI POMEN NOVEJŠIH SPOZNANJ O NARAVI UČENJA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b/>
          <w:noProof/>
          <w:sz w:val="28"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  <w:r>
        <w:rPr>
          <w:noProof/>
          <w:lang w:val="it-IT"/>
        </w:rPr>
        <w:t>Učenje ni le pridobivanje znanj in spretnosti, je še proces spreminajanja posameznika.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  <w:r>
        <w:rPr>
          <w:noProof/>
          <w:lang w:val="it-IT"/>
        </w:rPr>
        <w:t>Učenje z memoriranjem, drilom,… ima za posledico nizko motivacijo, hitro pozabljanje,…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0"/>
          <w:numId w:val="2"/>
        </w:numPr>
        <w:tabs>
          <w:tab w:val="left" w:pos="-1560"/>
        </w:tabs>
        <w:rPr>
          <w:b/>
          <w:noProof/>
          <w:lang w:val="it-IT"/>
        </w:rPr>
      </w:pPr>
      <w:r>
        <w:rPr>
          <w:b/>
          <w:noProof/>
          <w:lang w:val="it-IT"/>
        </w:rPr>
        <w:t>KONSTRUKTIVNO UČENJE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Znanje se nalaga na že obstoječe kognitivne strukture (predznanje!!) </w:t>
      </w:r>
      <w:r>
        <w:rPr>
          <w:noProof/>
        </w:rPr>
        <w:t xml:space="preserve">ter jih tako nadgrajuje. </w:t>
      </w:r>
      <w:r>
        <w:rPr>
          <w:noProof/>
          <w:lang w:val="it-IT"/>
        </w:rPr>
        <w:t>Njihova bistvena sestavina so pojmi, ki so v spominu organizirani hierarhično v obliki semantičnih mrež.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Učenje v šoli mora biti aktivno in selektivno (opredeljevati moramo temeljno in bistveno) ker tako v znatno večji meri izkoristimo možganske potenciale.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b/>
          <w:noProof/>
          <w:lang w:val="it-IT"/>
        </w:rPr>
      </w:pPr>
    </w:p>
    <w:p w:rsidR="00DD1964" w:rsidRDefault="00DD1964" w:rsidP="00DD1964">
      <w:pPr>
        <w:numPr>
          <w:ilvl w:val="0"/>
          <w:numId w:val="2"/>
        </w:numPr>
        <w:tabs>
          <w:tab w:val="left" w:pos="-1560"/>
        </w:tabs>
        <w:rPr>
          <w:b/>
          <w:noProof/>
          <w:lang w:val="it-IT"/>
        </w:rPr>
      </w:pPr>
      <w:r>
        <w:rPr>
          <w:b/>
          <w:noProof/>
          <w:lang w:val="it-IT"/>
        </w:rPr>
        <w:t>IZKUŠENJSKO UČENJE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  <w:r>
        <w:rPr>
          <w:noProof/>
          <w:lang w:val="it-IT"/>
        </w:rPr>
        <w:t>Učenje je ciklični proces, poteka skozi 4 temeljne faze (ni važno kje vstopimo, na osnovi faze ki pri določenem človeku prevladuje lahko določimo tip ljudi/poklica).</w:t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both"/>
        <w:rPr>
          <w:noProof/>
          <w:lang w:val="it-IT"/>
        </w:rPr>
      </w:pPr>
      <w:r>
        <w:rPr>
          <w:noProof/>
          <w:lang w:val="it-IT"/>
        </w:rPr>
        <w:t>konkr. izkušnja</w:t>
      </w:r>
      <w:r>
        <w:rPr>
          <w:noProof/>
          <w:lang w:val="it-IT"/>
        </w:rPr>
        <w:tab/>
        <w:t>razmišljajoče opazovanje</w:t>
      </w:r>
      <w:r>
        <w:rPr>
          <w:noProof/>
          <w:lang w:val="it-IT"/>
        </w:rPr>
        <w:tab/>
        <w:t>abstr. konceptualizacija</w:t>
      </w:r>
      <w:r>
        <w:rPr>
          <w:noProof/>
          <w:lang w:val="it-IT"/>
        </w:rPr>
        <w:tab/>
      </w: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noProof/>
          <w:lang w:val="it-IT"/>
        </w:rPr>
      </w:pPr>
      <w:r>
        <w:rPr>
          <w:noProof/>
          <w:lang w:val="it-IT"/>
        </w:rPr>
        <w:t>aktivni eksperiment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izhajamo iz učenčevega interesa,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učenci sodelujejo pri načrtovanju in organizaciji pouka,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učenci rešujejo svoje naloge po svoje,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učenje naj bo problemsko, povezano s konkretno življenjsko situacijo,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prisotni naj bosta še socialna in čustvena komponenta,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nova spoznanja se povezujejo s prejšnjimi znanji,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- pogoji šolskega dela morajo biti spodbujevalni.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0"/>
          <w:numId w:val="2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rPr>
          <w:b/>
          <w:noProof/>
          <w:lang w:val="it-IT"/>
        </w:rPr>
      </w:pPr>
      <w:r>
        <w:rPr>
          <w:b/>
          <w:noProof/>
          <w:lang w:val="it-IT"/>
        </w:rPr>
        <w:t>INOVATIVNO UČENJE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rPr>
          <w:noProof/>
          <w:lang w:val="it-IT"/>
        </w:rPr>
      </w:pPr>
      <w:r>
        <w:rPr>
          <w:noProof/>
          <w:lang w:val="it-IT"/>
        </w:rPr>
        <w:t>vključuje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DD1964" w:rsidTr="003F2B4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PARTICIPATIVNO</w:t>
            </w:r>
            <w:r>
              <w:rPr>
                <w:noProof/>
                <w:lang w:val="it-IT"/>
              </w:rPr>
              <w:t xml:space="preserve"> (soudeležba učenca) </w:t>
            </w:r>
            <w:r>
              <w:rPr>
                <w:i/>
                <w:noProof/>
                <w:lang w:val="it-IT"/>
              </w:rPr>
              <w:t>učenje</w:t>
            </w:r>
          </w:p>
        </w:tc>
        <w:tc>
          <w:tcPr>
            <w:tcW w:w="4500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ANTICIPATORNO</w:t>
            </w:r>
            <w:r>
              <w:rPr>
                <w:noProof/>
                <w:lang w:val="it-IT"/>
              </w:rPr>
              <w:t xml:space="preserve"> (predvidevanje) </w:t>
            </w:r>
            <w:r>
              <w:rPr>
                <w:i/>
                <w:noProof/>
                <w:lang w:val="it-IT"/>
              </w:rPr>
              <w:t>učenje</w:t>
            </w:r>
          </w:p>
        </w:tc>
      </w:tr>
      <w:tr w:rsidR="00DD1964" w:rsidTr="003F2B43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samostojno indentificiranje in oblikov. problemov,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divergentno in intiutivno razmišljanje učencev,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več možnih hipotez/rešitev,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 določeni fazi skupinsko reševanje problematike,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spoštovanje idej posameznika.</w:t>
            </w:r>
          </w:p>
        </w:tc>
        <w:tc>
          <w:tcPr>
            <w:tcW w:w="4500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vključuje ustvarjalnost,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razmišljanje o dolgoročnih rešitvah,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zavestno prevzemanje odgovornosti za določeno rešitev.</w:t>
            </w:r>
          </w:p>
        </w:tc>
      </w:tr>
    </w:tbl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center"/>
        <w:rPr>
          <w:noProof/>
          <w:lang w:val="it-IT"/>
        </w:rPr>
      </w:pPr>
      <w:r>
        <w:rPr>
          <w:noProof/>
          <w:lang w:val="it-IT"/>
        </w:rPr>
        <w:t xml:space="preserve"> </w:t>
      </w:r>
    </w:p>
    <w:p w:rsidR="00DD1964" w:rsidRDefault="00DD1964" w:rsidP="00DD1964">
      <w:pPr>
        <w:pStyle w:val="Heading2"/>
        <w:tabs>
          <w:tab w:val="clear" w:pos="2835"/>
          <w:tab w:val="left" w:pos="2268"/>
          <w:tab w:val="left" w:pos="2410"/>
          <w:tab w:val="left" w:pos="3686"/>
        </w:tabs>
        <w:rPr>
          <w:color w:val="auto"/>
        </w:rPr>
      </w:pPr>
      <w:r>
        <w:rPr>
          <w:color w:val="auto"/>
        </w:rPr>
        <w:t>MOŽGANI</w:t>
      </w: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248"/>
        <w:gridCol w:w="5040"/>
      </w:tblGrid>
      <w:tr w:rsidR="00DD1964" w:rsidTr="003F2B4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 xml:space="preserve">LEVA </w:t>
            </w:r>
            <w:r>
              <w:rPr>
                <w:noProof/>
                <w:lang w:val="it-IT"/>
              </w:rPr>
              <w:t>polovica</w:t>
            </w:r>
          </w:p>
        </w:tc>
        <w:tc>
          <w:tcPr>
            <w:tcW w:w="5040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center"/>
              <w:rPr>
                <w:noProof/>
                <w:lang w:val="it-IT"/>
              </w:rPr>
            </w:pPr>
            <w:r>
              <w:rPr>
                <w:i/>
                <w:noProof/>
                <w:lang w:val="it-IT"/>
              </w:rPr>
              <w:t>DESNA</w:t>
            </w:r>
            <w:r>
              <w:rPr>
                <w:noProof/>
                <w:lang w:val="it-IT"/>
              </w:rPr>
              <w:t xml:space="preserve"> polovica</w:t>
            </w:r>
          </w:p>
        </w:tc>
      </w:tr>
      <w:tr w:rsidR="00DD1964" w:rsidTr="003F2B43">
        <w:tblPrEx>
          <w:tblCellMar>
            <w:top w:w="0" w:type="dxa"/>
            <w:bottom w:w="0" w:type="dxa"/>
          </w:tblCellMar>
        </w:tblPrEx>
        <w:tc>
          <w:tcPr>
            <w:tcW w:w="4248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logika, razumevanje, analitične funkcije,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raba jezika, branje, pisanje,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linearna obdelava informacij, analiza.</w:t>
            </w:r>
          </w:p>
        </w:tc>
        <w:tc>
          <w:tcPr>
            <w:tcW w:w="5040" w:type="dxa"/>
          </w:tcPr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centri za celostno prepoznavanje (obrazi, vzorci),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</w:rPr>
            </w:pPr>
            <w:r>
              <w:rPr>
                <w:noProof/>
              </w:rPr>
              <w:t>ritem, vizualna predstavljivost, kreativnost,</w:t>
            </w:r>
          </w:p>
          <w:p w:rsidR="00DD1964" w:rsidRDefault="00DD1964" w:rsidP="003F2B43">
            <w:pPr>
              <w:numPr>
                <w:ilvl w:val="12"/>
                <w:numId w:val="0"/>
              </w:numPr>
              <w:tabs>
                <w:tab w:val="center" w:pos="-1560"/>
                <w:tab w:val="left" w:pos="567"/>
                <w:tab w:val="left" w:pos="2268"/>
                <w:tab w:val="left" w:pos="2410"/>
                <w:tab w:val="left" w:pos="3686"/>
                <w:tab w:val="left" w:pos="5103"/>
                <w:tab w:val="left" w:pos="7371"/>
              </w:tabs>
              <w:jc w:val="both"/>
              <w:rPr>
                <w:noProof/>
                <w:lang w:val="it-IT"/>
              </w:rPr>
            </w:pPr>
            <w:r>
              <w:rPr>
                <w:noProof/>
                <w:lang w:val="it-IT"/>
              </w:rPr>
              <w:t>vzporedna obdelava podatkov, sinteza.</w:t>
            </w:r>
          </w:p>
        </w:tc>
      </w:tr>
    </w:tbl>
    <w:p w:rsidR="00DD1964" w:rsidRDefault="00DD1964" w:rsidP="00DD1964">
      <w:pPr>
        <w:numPr>
          <w:ilvl w:val="12"/>
          <w:numId w:val="0"/>
        </w:numPr>
        <w:tabs>
          <w:tab w:val="left" w:pos="-1560"/>
        </w:tabs>
        <w:jc w:val="center"/>
        <w:rPr>
          <w:noProof/>
          <w:lang w:val="it-IT"/>
        </w:rPr>
      </w:pPr>
    </w:p>
    <w:p w:rsidR="00DD1964" w:rsidRDefault="00DD1964" w:rsidP="00DD1964">
      <w:pPr>
        <w:pStyle w:val="Heading2"/>
        <w:tabs>
          <w:tab w:val="clear" w:pos="567"/>
          <w:tab w:val="clear" w:pos="2835"/>
          <w:tab w:val="clear" w:pos="5103"/>
          <w:tab w:val="clear" w:pos="7371"/>
          <w:tab w:val="left" w:pos="-1560"/>
        </w:tabs>
        <w:rPr>
          <w:color w:val="auto"/>
        </w:rPr>
      </w:pPr>
      <w:r>
        <w:rPr>
          <w:color w:val="auto"/>
        </w:rPr>
        <w:lastRenderedPageBreak/>
        <w:t>CELOSTNO UČENJE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 xml:space="preserve">Za zahodno kulturo je značilno poudarjanje LEVE polovice, manjši poudarek je na desni polovici. Vendar pa so raziskave pokazale da razvijanje desne polovice koristi tudi razvijanju leve polovice. </w:t>
      </w: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</w:p>
    <w:p w:rsidR="00DD1964" w:rsidRDefault="00DD1964" w:rsidP="00DD1964">
      <w:pPr>
        <w:numPr>
          <w:ilvl w:val="12"/>
          <w:numId w:val="0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noProof/>
          <w:lang w:val="it-IT"/>
        </w:rPr>
        <w:t>Gardner trdi, da v človeku obstaja 7 temeljnih različnih potencialov, nadarjenosti, inteligenc:</w:t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L</w:t>
      </w:r>
      <w:r>
        <w:rPr>
          <w:noProof/>
          <w:lang w:val="it-IT"/>
        </w:rPr>
        <w:t>ingvistična</w:t>
      </w:r>
      <w:r>
        <w:rPr>
          <w:noProof/>
          <w:lang w:val="it-IT"/>
        </w:rPr>
        <w:tab/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G</w:t>
      </w:r>
      <w:r>
        <w:rPr>
          <w:noProof/>
          <w:lang w:val="it-IT"/>
        </w:rPr>
        <w:t>lasbena</w:t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L</w:t>
      </w:r>
      <w:r>
        <w:rPr>
          <w:noProof/>
          <w:lang w:val="it-IT"/>
        </w:rPr>
        <w:t>ogično-</w:t>
      </w:r>
      <w:r>
        <w:rPr>
          <w:b/>
          <w:noProof/>
          <w:lang w:val="it-IT"/>
        </w:rPr>
        <w:t>M</w:t>
      </w:r>
      <w:r>
        <w:rPr>
          <w:noProof/>
          <w:lang w:val="it-IT"/>
        </w:rPr>
        <w:t>atematična</w:t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P</w:t>
      </w:r>
      <w:r>
        <w:rPr>
          <w:noProof/>
          <w:lang w:val="it-IT"/>
        </w:rPr>
        <w:t>rostorska</w:t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T</w:t>
      </w:r>
      <w:r>
        <w:rPr>
          <w:noProof/>
          <w:lang w:val="it-IT"/>
        </w:rPr>
        <w:t>elesno-</w:t>
      </w:r>
      <w:r>
        <w:rPr>
          <w:b/>
          <w:noProof/>
          <w:lang w:val="it-IT"/>
        </w:rPr>
        <w:t>K</w:t>
      </w:r>
      <w:r>
        <w:rPr>
          <w:noProof/>
          <w:lang w:val="it-IT"/>
        </w:rPr>
        <w:t>inestetična</w:t>
      </w:r>
    </w:p>
    <w:p w:rsid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I</w:t>
      </w:r>
      <w:r>
        <w:rPr>
          <w:noProof/>
          <w:lang w:val="it-IT"/>
        </w:rPr>
        <w:t>ntrapersonalna</w:t>
      </w:r>
    </w:p>
    <w:p w:rsidR="00CB5B30" w:rsidRPr="00DD1964" w:rsidRDefault="00DD1964" w:rsidP="00DD1964">
      <w:pPr>
        <w:numPr>
          <w:ilvl w:val="0"/>
          <w:numId w:val="1"/>
        </w:numPr>
        <w:tabs>
          <w:tab w:val="center" w:pos="-1560"/>
          <w:tab w:val="left" w:pos="567"/>
          <w:tab w:val="left" w:pos="2268"/>
          <w:tab w:val="left" w:pos="2410"/>
          <w:tab w:val="left" w:pos="3686"/>
          <w:tab w:val="left" w:pos="5103"/>
          <w:tab w:val="left" w:pos="7371"/>
        </w:tabs>
        <w:jc w:val="both"/>
        <w:rPr>
          <w:noProof/>
          <w:lang w:val="it-IT"/>
        </w:rPr>
      </w:pPr>
      <w:r>
        <w:rPr>
          <w:b/>
          <w:noProof/>
          <w:lang w:val="it-IT"/>
        </w:rPr>
        <w:t>I</w:t>
      </w:r>
      <w:r>
        <w:rPr>
          <w:noProof/>
          <w:lang w:val="it-IT"/>
        </w:rPr>
        <w:t>nterpersonalna</w:t>
      </w:r>
      <w:bookmarkStart w:id="0" w:name="_GoBack"/>
      <w:bookmarkEnd w:id="0"/>
    </w:p>
    <w:sectPr w:rsidR="00CB5B30" w:rsidRPr="00DD1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E085A4"/>
    <w:lvl w:ilvl="0">
      <w:numFmt w:val="decimal"/>
      <w:lvlText w:val="*"/>
      <w:lvlJc w:val="left"/>
    </w:lvl>
  </w:abstractNum>
  <w:abstractNum w:abstractNumId="1">
    <w:nsid w:val="391C18A1"/>
    <w:multiLevelType w:val="hybridMultilevel"/>
    <w:tmpl w:val="391C5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43" w:hanging="283"/>
        </w:pPr>
        <w:rPr>
          <w:rFonts w:ascii="Symbol" w:hAnsi="Symbol" w:hint="default"/>
          <w:color w:val="008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F"/>
    <w:rsid w:val="000C2A0F"/>
    <w:rsid w:val="00270737"/>
    <w:rsid w:val="005E07E7"/>
    <w:rsid w:val="00CB5B30"/>
    <w:rsid w:val="00DD1964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1964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1"/>
    </w:pPr>
    <w:rPr>
      <w:b/>
      <w:noProof/>
      <w:color w:val="008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964"/>
    <w:rPr>
      <w:rFonts w:ascii="Times New Roman" w:eastAsia="Times New Roman" w:hAnsi="Times New Roman" w:cs="Times New Roman"/>
      <w:b/>
      <w:noProof/>
      <w:color w:val="008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DD1964"/>
    <w:pPr>
      <w:keepNext/>
      <w:numPr>
        <w:ilvl w:val="12"/>
      </w:numPr>
      <w:tabs>
        <w:tab w:val="center" w:pos="-1560"/>
        <w:tab w:val="left" w:pos="567"/>
        <w:tab w:val="left" w:pos="2835"/>
        <w:tab w:val="left" w:pos="5103"/>
        <w:tab w:val="left" w:pos="7371"/>
      </w:tabs>
      <w:outlineLvl w:val="1"/>
    </w:pPr>
    <w:rPr>
      <w:b/>
      <w:noProof/>
      <w:color w:val="008000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1964"/>
    <w:rPr>
      <w:rFonts w:ascii="Times New Roman" w:eastAsia="Times New Roman" w:hAnsi="Times New Roman" w:cs="Times New Roman"/>
      <w:b/>
      <w:noProof/>
      <w:color w:val="008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2014-03-19T10:56:00Z</dcterms:created>
  <dcterms:modified xsi:type="dcterms:W3CDTF">2014-03-19T10:56:00Z</dcterms:modified>
</cp:coreProperties>
</file>