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3759">
      <w:pPr>
        <w:tabs>
          <w:tab w:val="right" w:pos="1510"/>
        </w:tabs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</w:rPr>
        <w:t>Razvojno psihološke teorije</w:t>
      </w:r>
    </w:p>
    <w:p w:rsidR="00000000" w:rsidRDefault="00E23759">
      <w:pPr>
        <w:tabs>
          <w:tab w:val="right" w:pos="1510"/>
        </w:tabs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Psihoanalitske teorije</w:t>
      </w:r>
    </w:p>
    <w:p w:rsidR="00000000" w:rsidRDefault="00E23759">
      <w:pPr>
        <w:jc w:val="center"/>
        <w:rPr>
          <w:b/>
          <w:bCs/>
          <w:color w:val="FF0000"/>
          <w:sz w:val="28"/>
          <w:szCs w:val="28"/>
        </w:rPr>
      </w:pPr>
    </w:p>
    <w:p w:rsidR="00000000" w:rsidRDefault="00E237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FREUDUVA TEORIJA PSIHOSEKSUALNEGA RAZVOJA</w:t>
      </w:r>
    </w:p>
    <w:p w:rsidR="00000000" w:rsidRDefault="00E23759">
      <w:pPr>
        <w:jc w:val="center"/>
        <w:rPr>
          <w:b/>
          <w:bCs/>
          <w:color w:val="000000"/>
        </w:rPr>
      </w:pPr>
    </w:p>
    <w:p w:rsidR="00000000" w:rsidRDefault="00E23759">
      <w:pPr>
        <w:jc w:val="center"/>
        <w:rPr>
          <w:b/>
          <w:bCs/>
          <w:color w:val="000000"/>
        </w:rPr>
      </w:pPr>
    </w:p>
    <w:p w:rsidR="00000000" w:rsidRDefault="00E23759">
      <w:pPr>
        <w:ind w:left="17"/>
        <w:rPr>
          <w:color w:val="000000"/>
        </w:rPr>
      </w:pPr>
      <w:r>
        <w:rPr>
          <w:color w:val="000000"/>
        </w:rPr>
        <w:t>Psihoseksualna teorija je Freudova razlaga razvoja, ki se osredotoča na starševo obvladovanje otrokovih spolnih in agresivnih impulzov, na katerem temelji posam</w:t>
      </w:r>
      <w:r>
        <w:rPr>
          <w:color w:val="000000"/>
        </w:rPr>
        <w:t xml:space="preserve">eznikov osebnostni razvoj. </w:t>
      </w:r>
    </w:p>
    <w:p w:rsidR="00000000" w:rsidRDefault="00E23759">
      <w:pPr>
        <w:ind w:left="17"/>
        <w:rPr>
          <w:color w:val="000000"/>
        </w:rPr>
      </w:pPr>
      <w:r>
        <w:rPr>
          <w:color w:val="000000"/>
        </w:rPr>
        <w:t>Razvojne stopnje:</w:t>
      </w:r>
    </w:p>
    <w:p w:rsidR="00000000" w:rsidRDefault="00E23759">
      <w:pPr>
        <w:numPr>
          <w:ilvl w:val="0"/>
          <w:numId w:val="1"/>
        </w:numPr>
        <w:tabs>
          <w:tab w:val="clear" w:pos="720"/>
          <w:tab w:val="left" w:pos="737"/>
        </w:tabs>
        <w:ind w:left="737"/>
        <w:rPr>
          <w:color w:val="000000"/>
        </w:rPr>
      </w:pPr>
      <w:r>
        <w:rPr>
          <w:color w:val="0000FF"/>
        </w:rPr>
        <w:t>oralna faza</w:t>
      </w:r>
      <w:r>
        <w:rPr>
          <w:color w:val="000000"/>
        </w:rPr>
        <w:t xml:space="preserve"> - 1. leto otrokove starosti; prirojen sesalni refleks, grizenje, težnja po iskanju zadovoljstva se usmerja na usta. Če v 1. letu otrokove oralne potrebe niso zadovoljene, bo lahko kasneje razvil nav</w:t>
      </w:r>
      <w:r>
        <w:rPr>
          <w:color w:val="000000"/>
        </w:rPr>
        <w:t>ade, kot so sesanje palca, grizenje nohtov, kajenje v odraslosti.</w:t>
      </w:r>
    </w:p>
    <w:p w:rsidR="00000000" w:rsidRDefault="00E23759">
      <w:pPr>
        <w:numPr>
          <w:ilvl w:val="0"/>
          <w:numId w:val="1"/>
        </w:numPr>
        <w:tabs>
          <w:tab w:val="clear" w:pos="720"/>
          <w:tab w:val="left" w:pos="737"/>
        </w:tabs>
        <w:ind w:left="737"/>
        <w:rPr>
          <w:color w:val="000000"/>
        </w:rPr>
      </w:pPr>
      <w:r>
        <w:rPr>
          <w:color w:val="0000FF"/>
        </w:rPr>
        <w:t xml:space="preserve">analna faza </w:t>
      </w:r>
      <w:r>
        <w:rPr>
          <w:color w:val="000000"/>
        </w:rPr>
        <w:t>- od 2.-3. leta; malčki zadovoljujejo svoje telesne potrebe preko zadrževanja in izločanja telesnih izločkov.</w:t>
      </w:r>
    </w:p>
    <w:p w:rsidR="00000000" w:rsidRDefault="00E23759">
      <w:pPr>
        <w:numPr>
          <w:ilvl w:val="0"/>
          <w:numId w:val="1"/>
        </w:numPr>
        <w:tabs>
          <w:tab w:val="clear" w:pos="720"/>
          <w:tab w:val="left" w:pos="737"/>
        </w:tabs>
        <w:ind w:left="737"/>
        <w:rPr>
          <w:color w:val="000000"/>
        </w:rPr>
      </w:pPr>
      <w:r>
        <w:rPr>
          <w:color w:val="0000FF"/>
        </w:rPr>
        <w:t>falična faza</w:t>
      </w:r>
      <w:r>
        <w:rPr>
          <w:color w:val="000000"/>
        </w:rPr>
        <w:t xml:space="preserve"> - od 3.-6. leta, Ojdipov ( dečki) oz. Elektrin (deklice</w:t>
      </w:r>
      <w:r>
        <w:rPr>
          <w:color w:val="000000"/>
        </w:rPr>
        <w:t xml:space="preserve">) kompleks ( razvoj seksualne želje, ki se usmerja na starša nasprotnega spola); otroku telesno ugodje povzroča stimulacija genitalij. Če otrok ne razreši konflikta na falični stopnji, lahko ostane fiksiran na to stopnjo. V odraslosti se to lahko kaže kot </w:t>
      </w:r>
      <w:r>
        <w:rPr>
          <w:color w:val="000000"/>
        </w:rPr>
        <w:t xml:space="preserve">pretirana nagnjenost k flirtanju, moči, prodornosti. </w:t>
      </w:r>
    </w:p>
    <w:p w:rsidR="00000000" w:rsidRDefault="00E23759">
      <w:pPr>
        <w:numPr>
          <w:ilvl w:val="0"/>
          <w:numId w:val="1"/>
        </w:numPr>
        <w:tabs>
          <w:tab w:val="clear" w:pos="720"/>
          <w:tab w:val="left" w:pos="737"/>
        </w:tabs>
        <w:ind w:left="737"/>
        <w:rPr>
          <w:color w:val="000000"/>
        </w:rPr>
      </w:pPr>
      <w:r>
        <w:rPr>
          <w:color w:val="0000FF"/>
        </w:rPr>
        <w:t>stopnja latence</w:t>
      </w:r>
      <w:r>
        <w:rPr>
          <w:color w:val="000000"/>
        </w:rPr>
        <w:t xml:space="preserve"> - od 6.-11. leta; seksualni impulzi se umirijo, otrok potlači svoje seksualne potrebe, superego se razvija naprej.</w:t>
      </w:r>
    </w:p>
    <w:p w:rsidR="00000000" w:rsidRDefault="00E23759">
      <w:pPr>
        <w:numPr>
          <w:ilvl w:val="0"/>
          <w:numId w:val="1"/>
        </w:numPr>
        <w:tabs>
          <w:tab w:val="clear" w:pos="720"/>
          <w:tab w:val="left" w:pos="737"/>
        </w:tabs>
        <w:ind w:left="737"/>
        <w:rPr>
          <w:color w:val="000000"/>
        </w:rPr>
      </w:pPr>
      <w:r>
        <w:rPr>
          <w:color w:val="0000FF"/>
        </w:rPr>
        <w:t>genitalna faza</w:t>
      </w:r>
      <w:r>
        <w:rPr>
          <w:color w:val="000000"/>
        </w:rPr>
        <w:t xml:space="preserve"> – mladostništvo;delovanje seksualnih impulzov in falične</w:t>
      </w:r>
      <w:r>
        <w:rPr>
          <w:color w:val="000000"/>
        </w:rPr>
        <w:t xml:space="preserve"> stopnje se ponovno okrepi, izvor seksualne stimulacije in zadovoljstva postane nekdo zunaj mladostnikove družine. Pojav konfliktov s starši.</w:t>
      </w:r>
    </w:p>
    <w:p w:rsidR="00000000" w:rsidRDefault="00E23759">
      <w:pPr>
        <w:ind w:left="17"/>
        <w:rPr>
          <w:color w:val="000000"/>
        </w:rPr>
      </w:pPr>
      <w:r>
        <w:rPr>
          <w:color w:val="000000"/>
        </w:rPr>
        <w:t>Razvojne stopnje se ne preskakujejo – so ordinalne.</w:t>
      </w:r>
    </w:p>
    <w:p w:rsidR="00000000" w:rsidRDefault="00E23759">
      <w:pPr>
        <w:ind w:left="17"/>
        <w:rPr>
          <w:color w:val="000000"/>
        </w:rPr>
      </w:pPr>
      <w:r>
        <w:rPr>
          <w:color w:val="000000"/>
        </w:rPr>
        <w:t>Starševo obvladovanje otrokovih seksualnih in agresivnih potre</w:t>
      </w:r>
      <w:r>
        <w:rPr>
          <w:color w:val="000000"/>
        </w:rPr>
        <w:t>b je ključno za razvoj osebnosti, ki je sestavljena iz 3 delov:</w:t>
      </w:r>
    </w:p>
    <w:p w:rsidR="00000000" w:rsidRDefault="00E23759">
      <w:pPr>
        <w:ind w:left="17"/>
        <w:rPr>
          <w:color w:val="000000"/>
        </w:rPr>
      </w:pPr>
      <w:r>
        <w:rPr>
          <w:color w:val="FF0000"/>
        </w:rPr>
        <w:t xml:space="preserve">Id </w:t>
      </w:r>
      <w:r>
        <w:rPr>
          <w:color w:val="000000"/>
        </w:rPr>
        <w:t>je v Freudovi teoriji nezavedni del osebnosti, ki je izvor temeljnih bioloških potreb in želja. Je podedovan in deluje ob rojstvu. Dojenček začne jokati takoj ko je lačen.</w:t>
      </w:r>
    </w:p>
    <w:p w:rsidR="00000000" w:rsidRDefault="00E23759">
      <w:pPr>
        <w:ind w:left="17"/>
        <w:rPr>
          <w:color w:val="000000"/>
        </w:rPr>
      </w:pPr>
      <w:r>
        <w:rPr>
          <w:color w:val="FF0000"/>
        </w:rPr>
        <w:t>Ego</w:t>
      </w:r>
      <w:r>
        <w:rPr>
          <w:color w:val="000000"/>
        </w:rPr>
        <w:t xml:space="preserve"> je razumski d</w:t>
      </w:r>
      <w:r>
        <w:rPr>
          <w:color w:val="000000"/>
        </w:rPr>
        <w:t>el osebnosti, ki usklajuje zahteve ida, okolja in superega. Razvijati se začne v obdobju dojenčka. Lačen dojenček se pomiri, ko vidi, da mama pripravlja hrano.</w:t>
      </w:r>
    </w:p>
    <w:p w:rsidR="00000000" w:rsidRDefault="00E23759">
      <w:pPr>
        <w:ind w:left="17"/>
        <w:rPr>
          <w:color w:val="000000"/>
        </w:rPr>
      </w:pPr>
      <w:r>
        <w:rPr>
          <w:color w:val="FF0000"/>
        </w:rPr>
        <w:t>Superego</w:t>
      </w:r>
      <w:r>
        <w:rPr>
          <w:color w:val="000000"/>
        </w:rPr>
        <w:t xml:space="preserve"> je nadzorni del osebnosti, ki vsebuje ponotranjene standarde pravilnega in napačnega. R</w:t>
      </w:r>
      <w:r>
        <w:rPr>
          <w:color w:val="000000"/>
        </w:rPr>
        <w:t>azvije se na podlagi interakcij s starši. Otrok prosi vrstnika, če mu malo posodi igračo in zatre željo, da bi to igračo takoj dobil.</w:t>
      </w:r>
    </w:p>
    <w:p w:rsidR="00000000" w:rsidRDefault="00E23759">
      <w:pPr>
        <w:ind w:left="17"/>
        <w:rPr>
          <w:color w:val="000000"/>
        </w:rPr>
      </w:pPr>
      <w:r>
        <w:rPr>
          <w:color w:val="000000"/>
        </w:rPr>
        <w:t>Kritika Freudove teorije je pretirana seksualnost.</w:t>
      </w: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ind w:left="1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ERIKSONOVA TEORIJA PSIHOSOCIALNEGA RAZVOJA</w:t>
      </w:r>
    </w:p>
    <w:p w:rsidR="00000000" w:rsidRDefault="00E23759">
      <w:pPr>
        <w:ind w:left="17"/>
        <w:rPr>
          <w:color w:val="000000"/>
        </w:rPr>
      </w:pPr>
      <w:r>
        <w:rPr>
          <w:color w:val="000000"/>
        </w:rPr>
        <w:t xml:space="preserve">- Poudarja </w:t>
      </w:r>
      <w:r>
        <w:rPr>
          <w:color w:val="000000"/>
        </w:rPr>
        <w:t xml:space="preserve">delovanje socialnih dejavnikov na vsaki stopnji razvoja. </w:t>
      </w:r>
    </w:p>
    <w:p w:rsidR="00000000" w:rsidRDefault="00E23759">
      <w:pPr>
        <w:ind w:left="17"/>
        <w:rPr>
          <w:color w:val="000000"/>
        </w:rPr>
      </w:pPr>
      <w:r>
        <w:rPr>
          <w:color w:val="000000"/>
        </w:rPr>
        <w:t>- Razvoj ega je postavljen v družbeni kontekst; načini delovanja ega so specifični glede na stopnjo razvoja</w:t>
      </w:r>
    </w:p>
    <w:p w:rsidR="00000000" w:rsidRDefault="00E23759">
      <w:pPr>
        <w:ind w:left="17"/>
        <w:rPr>
          <w:color w:val="000000"/>
        </w:rPr>
      </w:pPr>
      <w:r>
        <w:rPr>
          <w:color w:val="000000"/>
        </w:rPr>
        <w:t>- Posameznikov lastni način delovanja na socialno okolje</w:t>
      </w:r>
    </w:p>
    <w:p w:rsidR="00000000" w:rsidRDefault="00E23759">
      <w:pPr>
        <w:ind w:left="17"/>
        <w:rPr>
          <w:color w:val="000000"/>
        </w:rPr>
      </w:pPr>
      <w:r>
        <w:rPr>
          <w:color w:val="000000"/>
        </w:rPr>
        <w:t>- Nastanek konflikta ali psihosoc</w:t>
      </w:r>
      <w:r>
        <w:rPr>
          <w:color w:val="000000"/>
        </w:rPr>
        <w:t>ialne krize.</w:t>
      </w:r>
    </w:p>
    <w:p w:rsidR="00000000" w:rsidRDefault="00E23759">
      <w:pPr>
        <w:ind w:left="17"/>
        <w:rPr>
          <w:b/>
          <w:bCs/>
          <w:color w:val="000000"/>
        </w:rPr>
      </w:pPr>
      <w:r>
        <w:rPr>
          <w:b/>
          <w:bCs/>
          <w:color w:val="000000"/>
        </w:rPr>
        <w:t>Razvojne stopnje, primerjava v Freudovi in Eriksonovi teoriji razvoja: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000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  <w:rPr>
                <w:color w:val="B80047"/>
              </w:rPr>
            </w:pPr>
            <w:r>
              <w:rPr>
                <w:color w:val="B80047"/>
              </w:rPr>
              <w:t>RAZVOJNO OBDOBJE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  <w:rPr>
                <w:color w:val="FF0000"/>
              </w:rPr>
            </w:pPr>
            <w:r>
              <w:rPr>
                <w:color w:val="FF0000"/>
              </w:rPr>
              <w:t>STOPNJE V F: TEORIJI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23759">
            <w:pPr>
              <w:pStyle w:val="Vsebinatabele"/>
              <w:rPr>
                <w:color w:val="FF0000"/>
              </w:rPr>
            </w:pPr>
            <w:r>
              <w:rPr>
                <w:color w:val="FF0000"/>
              </w:rPr>
              <w:t>STOPNJE V E: TEORIJI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Pozna odraslost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integracija/obup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Srednja odraslost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generativnost/stagnacija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Zgodnja odraslost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intimnost/izo</w:t>
            </w:r>
            <w:r>
              <w:t>lacija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Mladostništvo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genitalna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identiteta/identitetna zmeda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Srednje in pozno otroštvo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latenca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marljivost/manjvrednost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Zgodnje otroštvo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falična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iniciativnost/krivda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Malček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analna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avtonomnost/sram, dvom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Dojenček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oralna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zaupanje/nezaupanje</w:t>
            </w:r>
          </w:p>
        </w:tc>
      </w:tr>
    </w:tbl>
    <w:p w:rsidR="00000000" w:rsidRDefault="00E23759">
      <w:pPr>
        <w:ind w:left="17"/>
        <w:rPr>
          <w:color w:val="000000"/>
        </w:rPr>
      </w:pPr>
      <w:r>
        <w:rPr>
          <w:color w:val="000000"/>
          <w:u w:val="single"/>
        </w:rPr>
        <w:t>Opomba k tabe</w:t>
      </w:r>
      <w:r>
        <w:rPr>
          <w:color w:val="000000"/>
          <w:u w:val="single"/>
        </w:rPr>
        <w:t>li</w:t>
      </w:r>
      <w:r>
        <w:rPr>
          <w:color w:val="000000"/>
        </w:rPr>
        <w:t>: v Eriksonovih stopnjah sta navedena pozitivni/negativni pol v osameznih fazah.</w:t>
      </w:r>
    </w:p>
    <w:p w:rsidR="00000000" w:rsidRDefault="00E23759">
      <w:pPr>
        <w:ind w:left="17"/>
        <w:rPr>
          <w:color w:val="000000"/>
        </w:rPr>
      </w:pPr>
    </w:p>
    <w:p w:rsidR="00000000" w:rsidRDefault="00E23759">
      <w:pPr>
        <w:rPr>
          <w:color w:val="000000"/>
        </w:rPr>
      </w:pPr>
      <w:r>
        <w:rPr>
          <w:color w:val="FF0000"/>
        </w:rPr>
        <w:t xml:space="preserve">Psihosocialna kriza </w:t>
      </w:r>
      <w:r>
        <w:rPr>
          <w:color w:val="000000"/>
        </w:rPr>
        <w:t>je posamezno razvojno obdobje, v katerem se posameznik sooča s specifičnim načinom delovanja svojega ega na socialno okolje in delovanjem tega okolja na</w:t>
      </w:r>
      <w:r>
        <w:rPr>
          <w:color w:val="000000"/>
        </w:rPr>
        <w:t>nj, kar v njem oblikuje določeno napetost, specifičen konflikt. Po teh specifičnih konfliktih, psihosocialnih krizah</w:t>
      </w:r>
    </w:p>
    <w:p w:rsidR="00000000" w:rsidRDefault="00E23759">
      <w:pPr>
        <w:rPr>
          <w:color w:val="000000"/>
        </w:rPr>
      </w:pPr>
      <w:r>
        <w:rPr>
          <w:color w:val="000000"/>
        </w:rPr>
        <w:t>je Erikson poimenoval razvojne stopnje.</w:t>
      </w:r>
    </w:p>
    <w:p w:rsidR="00000000" w:rsidRDefault="00E23759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Kognitivne teorije</w:t>
      </w:r>
    </w:p>
    <w:p w:rsidR="00000000" w:rsidRDefault="00E23759">
      <w:pPr>
        <w:rPr>
          <w:color w:val="000000"/>
        </w:rPr>
      </w:pPr>
      <w:r>
        <w:rPr>
          <w:color w:val="000000"/>
        </w:rPr>
        <w:t>Kognitivne teorije se ukvarjajo s preučevanjem strukture in razvoja posameznih m</w:t>
      </w:r>
      <w:r>
        <w:rPr>
          <w:color w:val="000000"/>
        </w:rPr>
        <w:t>iselnih procesov ter z vplivom miselnih procesov na posameznikovo razumevanje in vedenje.</w:t>
      </w:r>
    </w:p>
    <w:p w:rsidR="00000000" w:rsidRDefault="00E237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PIAGETOVA TEORIJA SPOZNAVNEGA RAZVOJA</w:t>
      </w:r>
    </w:p>
    <w:p w:rsidR="00000000" w:rsidRDefault="00E23759">
      <w:pPr>
        <w:rPr>
          <w:color w:val="000000"/>
        </w:rPr>
      </w:pPr>
      <w:r>
        <w:rPr>
          <w:color w:val="000000"/>
        </w:rPr>
        <w:t>- kako otrok na različnih razvojnih stopnjah misli</w:t>
      </w:r>
    </w:p>
    <w:p w:rsidR="00000000" w:rsidRDefault="00E23759">
      <w:pPr>
        <w:rPr>
          <w:color w:val="000000"/>
        </w:rPr>
      </w:pPr>
      <w:r>
        <w:rPr>
          <w:color w:val="000000"/>
        </w:rPr>
        <w:t>- razvoj predpojmovnih in pojmovnih struktur</w:t>
      </w:r>
    </w:p>
    <w:p w:rsidR="00000000" w:rsidRDefault="00E23759">
      <w:pPr>
        <w:rPr>
          <w:color w:val="000000"/>
        </w:rPr>
      </w:pPr>
      <w:r>
        <w:rPr>
          <w:color w:val="000000"/>
        </w:rPr>
        <w:t xml:space="preserve">- uravnoteženost kot kognitivno </w:t>
      </w:r>
      <w:r>
        <w:rPr>
          <w:color w:val="000000"/>
        </w:rPr>
        <w:t>stanje</w:t>
      </w:r>
    </w:p>
    <w:p w:rsidR="00000000" w:rsidRDefault="00E23759">
      <w:pPr>
        <w:rPr>
          <w:color w:val="000000"/>
        </w:rPr>
      </w:pPr>
      <w:r>
        <w:rPr>
          <w:color w:val="000000"/>
        </w:rPr>
        <w:t>- fizične in logičnomatematične izkušnje</w:t>
      </w:r>
    </w:p>
    <w:p w:rsidR="00000000" w:rsidRDefault="00E23759">
      <w:pPr>
        <w:rPr>
          <w:color w:val="000000"/>
        </w:rPr>
      </w:pPr>
      <w:r>
        <w:rPr>
          <w:color w:val="000000"/>
        </w:rPr>
        <w:t>- klinična metoda dela</w:t>
      </w:r>
    </w:p>
    <w:p w:rsidR="00000000" w:rsidRDefault="00E23759">
      <w:pPr>
        <w:rPr>
          <w:color w:val="000000"/>
        </w:rPr>
      </w:pPr>
      <w:r>
        <w:rPr>
          <w:color w:val="000000"/>
        </w:rPr>
        <w:t>- odnos razvoj-učenje.</w:t>
      </w:r>
    </w:p>
    <w:p w:rsidR="00000000" w:rsidRDefault="00E23759">
      <w:pPr>
        <w:rPr>
          <w:color w:val="000000"/>
          <w:u w:val="single"/>
        </w:rPr>
      </w:pPr>
      <w:r>
        <w:rPr>
          <w:color w:val="000000"/>
          <w:u w:val="single"/>
        </w:rPr>
        <w:t>Razvojne stopnje:</w:t>
      </w:r>
    </w:p>
    <w:p w:rsidR="00000000" w:rsidRDefault="00E23759">
      <w:pPr>
        <w:rPr>
          <w:color w:val="000000"/>
        </w:rPr>
      </w:pPr>
      <w:r>
        <w:rPr>
          <w:color w:val="0000FF"/>
        </w:rPr>
        <w:t xml:space="preserve">- zaznavno-gibalna </w:t>
      </w:r>
      <w:r>
        <w:rPr>
          <w:color w:val="000000"/>
        </w:rPr>
        <w:t>(od rojstva -2h let):</w:t>
      </w:r>
    </w:p>
    <w:p w:rsidR="00000000" w:rsidRDefault="00E23759">
      <w:pPr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 xml:space="preserve"> otrok pridobi nove izkušnje preko zaznavanja in gibanja,</w:t>
      </w:r>
    </w:p>
    <w:p w:rsidR="00000000" w:rsidRDefault="00E23759">
      <w:pPr>
        <w:rPr>
          <w:color w:val="000000"/>
        </w:rPr>
      </w:pPr>
      <w:r>
        <w:rPr>
          <w:color w:val="000000"/>
        </w:rPr>
        <w:t>- groba motorika-obvladuje prostor (proksimo</w:t>
      </w:r>
      <w:r>
        <w:rPr>
          <w:color w:val="000000"/>
        </w:rPr>
        <w:t>distalna smer, iz ramen oz. „od glave do repa“),</w:t>
      </w:r>
    </w:p>
    <w:p w:rsidR="00000000" w:rsidRDefault="00E23759">
      <w:pPr>
        <w:rPr>
          <w:color w:val="000000"/>
        </w:rPr>
      </w:pPr>
      <w:r>
        <w:rPr>
          <w:color w:val="000000"/>
        </w:rPr>
        <w:t>- ta gibalna izkušnja vpliva na njegovo mišljenje,</w:t>
      </w:r>
    </w:p>
    <w:p w:rsidR="00000000" w:rsidRDefault="00E23759">
      <w:pPr>
        <w:rPr>
          <w:color w:val="000000"/>
        </w:rPr>
      </w:pPr>
      <w:r>
        <w:rPr>
          <w:color w:val="000000"/>
        </w:rPr>
        <w:t>- konstantnost subjekta – malček ve, da oseba je tudi če je ne vidi -rojstvo inteligentnosti,</w:t>
      </w:r>
    </w:p>
    <w:p w:rsidR="00000000" w:rsidRDefault="00E23759">
      <w:pPr>
        <w:rPr>
          <w:color w:val="000000"/>
        </w:rPr>
      </w:pPr>
      <w:r>
        <w:rPr>
          <w:color w:val="000000"/>
        </w:rPr>
        <w:t>- do drugega leta 6 podstopenj (primarne, sekundarne, terciarn</w:t>
      </w:r>
      <w:r>
        <w:rPr>
          <w:color w:val="000000"/>
        </w:rPr>
        <w:t>e reakcije),</w:t>
      </w:r>
    </w:p>
    <w:p w:rsidR="00000000" w:rsidRDefault="00E23759">
      <w:pPr>
        <w:rPr>
          <w:color w:val="000000"/>
        </w:rPr>
      </w:pPr>
      <w:r>
        <w:rPr>
          <w:color w:val="000000"/>
        </w:rPr>
        <w:t>- sekundarne krožne reakcije-vmesnik; s pomočjo nečesa pride do nekega predmeta( potegne prt z mize),</w:t>
      </w:r>
    </w:p>
    <w:p w:rsidR="00000000" w:rsidRDefault="00E23759">
      <w:pPr>
        <w:rPr>
          <w:color w:val="000000"/>
        </w:rPr>
      </w:pPr>
      <w:r>
        <w:rPr>
          <w:color w:val="000000"/>
        </w:rPr>
        <w:t>- terciarne krožne reakcije – pri 1,5 – 2 letih se pojavi želja po preizkušanju stvari okoli sebe; eksperiment</w:t>
      </w:r>
    </w:p>
    <w:p w:rsidR="00000000" w:rsidRDefault="00E23759">
      <w:pPr>
        <w:rPr>
          <w:color w:val="000000"/>
        </w:rPr>
      </w:pPr>
      <w:r>
        <w:rPr>
          <w:color w:val="0000FF"/>
        </w:rPr>
        <w:t>- predoperativna</w:t>
      </w:r>
      <w:r>
        <w:rPr>
          <w:color w:val="000000"/>
        </w:rPr>
        <w:t xml:space="preserve"> (od 2h-6/7 le</w:t>
      </w:r>
      <w:r>
        <w:rPr>
          <w:color w:val="000000"/>
        </w:rPr>
        <w:t>t, obdobje srednjega otroštva); otrok še nima razvitih miselnih operacij. Pojav prvih simbolnih sistemov (preneseni pomen), simbolna igra (spremenjen pomen predmetov) – miselna pretvorba.</w:t>
      </w:r>
    </w:p>
    <w:p w:rsidR="00000000" w:rsidRDefault="00E23759">
      <w:pPr>
        <w:rPr>
          <w:color w:val="000000"/>
        </w:rPr>
      </w:pPr>
      <w:r>
        <w:rPr>
          <w:color w:val="0000FF"/>
        </w:rPr>
        <w:t>- konkretno operativna</w:t>
      </w:r>
      <w:r>
        <w:rPr>
          <w:color w:val="000000"/>
        </w:rPr>
        <w:t xml:space="preserve"> (od 6/7 do 11/12 let, pozno otroštvo)</w:t>
      </w:r>
    </w:p>
    <w:p w:rsidR="00000000" w:rsidRDefault="00E23759">
      <w:pPr>
        <w:rPr>
          <w:color w:val="000000"/>
        </w:rPr>
      </w:pPr>
      <w:r>
        <w:rPr>
          <w:color w:val="0000FF"/>
        </w:rPr>
        <w:t>- forma</w:t>
      </w:r>
      <w:r>
        <w:rPr>
          <w:color w:val="0000FF"/>
        </w:rPr>
        <w:t>lno operativna</w:t>
      </w:r>
      <w:r>
        <w:rPr>
          <w:color w:val="000000"/>
        </w:rPr>
        <w:t xml:space="preserve"> (od 11/12 do 15 let), razvoj abstraktnega mišljenja.</w:t>
      </w:r>
    </w:p>
    <w:p w:rsidR="00000000" w:rsidRDefault="00E23759">
      <w:pPr>
        <w:rPr>
          <w:color w:val="000000"/>
        </w:rPr>
      </w:pPr>
    </w:p>
    <w:p w:rsidR="00000000" w:rsidRDefault="00E23759">
      <w:pPr>
        <w:rPr>
          <w:color w:val="000000"/>
        </w:rPr>
      </w:pPr>
      <w:r>
        <w:rPr>
          <w:color w:val="000000"/>
        </w:rPr>
        <w:lastRenderedPageBreak/>
        <w:t>Za razvojne stopnje so značilne naslednje lastnosti:</w:t>
      </w:r>
    </w:p>
    <w:p w:rsidR="00000000" w:rsidRDefault="00E23759">
      <w:pPr>
        <w:rPr>
          <w:color w:val="000000"/>
        </w:rPr>
      </w:pPr>
      <w:r>
        <w:rPr>
          <w:color w:val="000000"/>
        </w:rPr>
        <w:t>1</w:t>
      </w:r>
      <w:r>
        <w:rPr>
          <w:color w:val="000000"/>
          <w:u w:val="single"/>
        </w:rPr>
        <w:t>. univerzalnost</w:t>
      </w:r>
      <w:r>
        <w:rPr>
          <w:color w:val="000000"/>
        </w:rPr>
        <w:t>; pri kateri gre za razvoj enakih struktur, konceptov pri vseh ljudeh.</w:t>
      </w:r>
    </w:p>
    <w:p w:rsidR="00000000" w:rsidRDefault="00E23759">
      <w:pPr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  <w:u w:val="single"/>
        </w:rPr>
        <w:t>invariantnost zaporedja</w:t>
      </w:r>
      <w:r>
        <w:rPr>
          <w:color w:val="000000"/>
        </w:rPr>
        <w:t>; kar pomeni, da razv</w:t>
      </w:r>
      <w:r>
        <w:rPr>
          <w:color w:val="000000"/>
        </w:rPr>
        <w:t>ojne stopnje potekajo v določenem zaporedju, nobene ni moč preskočiti.</w:t>
      </w:r>
    </w:p>
    <w:p w:rsidR="00000000" w:rsidRDefault="00E23759">
      <w:pPr>
        <w:rPr>
          <w:color w:val="000000"/>
        </w:rPr>
      </w:pPr>
      <w:r>
        <w:rPr>
          <w:color w:val="000000"/>
        </w:rPr>
        <w:t>3.</w:t>
      </w:r>
      <w:r>
        <w:rPr>
          <w:color w:val="000000"/>
          <w:u w:val="single"/>
        </w:rPr>
        <w:t xml:space="preserve"> ravnotežje;</w:t>
      </w:r>
      <w:r>
        <w:rPr>
          <w:color w:val="000000"/>
        </w:rPr>
        <w:t xml:space="preserve"> ko otrok utrdi svoje miselne vzorce je dosegel stopnjo stabilnosti, je na stopnji ravnotežja.</w:t>
      </w:r>
    </w:p>
    <w:p w:rsidR="00000000" w:rsidRDefault="00E23759">
      <w:pPr>
        <w:rPr>
          <w:color w:val="FF0000"/>
        </w:rPr>
      </w:pPr>
      <w:r>
        <w:rPr>
          <w:color w:val="000000"/>
        </w:rPr>
        <w:t>4.</w:t>
      </w:r>
      <w:r>
        <w:rPr>
          <w:color w:val="000000"/>
          <w:u w:val="single"/>
        </w:rPr>
        <w:t xml:space="preserve"> transformacija</w:t>
      </w:r>
      <w:r>
        <w:rPr>
          <w:color w:val="000000"/>
        </w:rPr>
        <w:t xml:space="preserve">-pretvorba in ireverzibilnost-nepovratnost; kar pomeni, da </w:t>
      </w:r>
      <w:r>
        <w:rPr>
          <w:color w:val="000000"/>
        </w:rPr>
        <w:t xml:space="preserve">ni vračanja na nižjo stopnjo, </w:t>
      </w:r>
      <w:r>
        <w:rPr>
          <w:color w:val="FF0000"/>
        </w:rPr>
        <w:t xml:space="preserve">kar je drugače kot pri Freudovi stopenjski teoriji. Po Freudovi teoriji posameznik npr. premaga strah z vračanjem na nižjo razvojno stopnjo. </w:t>
      </w:r>
    </w:p>
    <w:p w:rsidR="00000000" w:rsidRDefault="00E23759">
      <w:pPr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  <w:u w:val="single"/>
        </w:rPr>
        <w:t>postopnost v razvoju</w:t>
      </w:r>
      <w:r>
        <w:rPr>
          <w:color w:val="000000"/>
        </w:rPr>
        <w:t xml:space="preserve">. </w:t>
      </w:r>
    </w:p>
    <w:p w:rsidR="00000000" w:rsidRDefault="00E23759">
      <w:pPr>
        <w:rPr>
          <w:i/>
          <w:iCs/>
          <w:color w:val="000080"/>
        </w:rPr>
      </w:pPr>
    </w:p>
    <w:p w:rsidR="00000000" w:rsidRDefault="00E23759">
      <w:pPr>
        <w:rPr>
          <w:i/>
          <w:iCs/>
          <w:color w:val="00008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000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  <w:rPr>
                <w:color w:val="FF0000"/>
              </w:rPr>
            </w:pPr>
            <w:r>
              <w:rPr>
                <w:color w:val="FF0000"/>
              </w:rPr>
              <w:t>RAZVOJNE STOPNJE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  <w:rPr>
                <w:color w:val="FF0000"/>
              </w:rPr>
            </w:pPr>
            <w:r>
              <w:rPr>
                <w:color w:val="FF0000"/>
              </w:rPr>
              <w:t>OKVIRNA STAROST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23759">
            <w:pPr>
              <w:pStyle w:val="Vsebinatabele"/>
              <w:rPr>
                <w:color w:val="FF0000"/>
              </w:rPr>
            </w:pPr>
            <w:r>
              <w:rPr>
                <w:color w:val="FF0000"/>
              </w:rPr>
              <w:t xml:space="preserve">TIPIČNE ZNAČILNOSTI IN </w:t>
            </w:r>
            <w:r>
              <w:rPr>
                <w:color w:val="FF0000"/>
              </w:rPr>
              <w:t>OMEJITVE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Zaznavno gibalna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od 0 do 2 let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23759">
            <w:pPr>
              <w:pStyle w:val="Vsebinatabe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Razumevanje sveta preko gibalnih in zaznavnih dejavnosti, ki jih otrok izvaja na predmetih, svojem lastnem telesu, drugih osebah; razvoj poteka v šestih podstopnjah, od preprostih refleksov do organiziranih shem in </w:t>
            </w:r>
            <w:r>
              <w:rPr>
                <w:sz w:val="20"/>
                <w:szCs w:val="20"/>
              </w:rPr>
              <w:t>mentalne reprezentacije.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Predoperativna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od 2 do 6-7 let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23759">
            <w:pPr>
              <w:pStyle w:val="Vsebinatabe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 za razvoj in rabo simbolov (geste, besede, odloženo posnemanje, igra, risanje); egocentrična komunikacija; otrok pri nalogah kot so konzervacija, razredna inkluzija, seriacija, razmišlja na osnov</w:t>
            </w:r>
            <w:r>
              <w:rPr>
                <w:sz w:val="20"/>
                <w:szCs w:val="20"/>
              </w:rPr>
              <w:t>i ene vizualne dimenzije.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Konkretno operativna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od 6-7 do 11-12 let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23759">
            <w:pPr>
              <w:pStyle w:val="Vsebinatabe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Otrok razvija logične strukture, ki mu na ravni miselnih operacij omogočajo reševanje nalog, kot so konzervacija, razredna inkluzija, razumevanje pojmov časa, prostora...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Formalno operati</w:t>
            </w:r>
            <w:r>
              <w:t>vna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Od 11-12 do 15 let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23759">
            <w:pPr>
              <w:pStyle w:val="Vsebinatabe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Miselne operacije niso več omejene s konkretnimi predmeti – mladostnik razmišlja abstraktno in hipotetično v kontekstu jezikovnega in logičnega sistema.</w:t>
            </w:r>
          </w:p>
        </w:tc>
      </w:tr>
    </w:tbl>
    <w:p w:rsidR="00000000" w:rsidRDefault="00E23759">
      <w:pPr>
        <w:rPr>
          <w:i/>
          <w:iCs/>
          <w:color w:val="000080"/>
        </w:rPr>
      </w:pPr>
    </w:p>
    <w:p w:rsidR="00000000" w:rsidRDefault="00E23759">
      <w:pPr>
        <w:rPr>
          <w:color w:val="000000"/>
        </w:rPr>
      </w:pPr>
      <w:r>
        <w:rPr>
          <w:b/>
          <w:bCs/>
          <w:color w:val="000000"/>
        </w:rPr>
        <w:t>Klinična metoda dela</w:t>
      </w:r>
      <w:r>
        <w:rPr>
          <w:color w:val="000000"/>
        </w:rPr>
        <w:t xml:space="preserve"> je metoda, ki jo je Piaget pogosto uporabljal pri preučev</w:t>
      </w:r>
      <w:r>
        <w:rPr>
          <w:color w:val="000000"/>
        </w:rPr>
        <w:t>anju otrokovega mišljenja. Eksperimentator ima pripravljena začetna vprašanja, kasneje pa, upoštevajoč otrokove konkretne odgovore postavlja nova vprašanja.</w:t>
      </w:r>
    </w:p>
    <w:p w:rsidR="00000000" w:rsidRDefault="00E23759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Piaget razlaga razvoj mišljenja s pomočjo 3 miselnih funkcij oz. procesov, in sicer </w:t>
      </w:r>
      <w:r>
        <w:rPr>
          <w:b/>
          <w:bCs/>
          <w:i/>
          <w:iCs/>
          <w:color w:val="000000"/>
        </w:rPr>
        <w:t>miselne organiz</w:t>
      </w:r>
      <w:r>
        <w:rPr>
          <w:b/>
          <w:bCs/>
          <w:i/>
          <w:iCs/>
          <w:color w:val="000000"/>
        </w:rPr>
        <w:t>acije, adaptacije in ekvilibracije (ravnotežja).</w:t>
      </w:r>
    </w:p>
    <w:p w:rsidR="00000000" w:rsidRDefault="00E23759">
      <w:pPr>
        <w:rPr>
          <w:color w:val="000000"/>
        </w:rPr>
      </w:pPr>
      <w:r>
        <w:rPr>
          <w:color w:val="000000"/>
          <w:u w:val="single"/>
        </w:rPr>
        <w:t>Miselna organizacija</w:t>
      </w:r>
      <w:r>
        <w:rPr>
          <w:color w:val="000000"/>
        </w:rPr>
        <w:t xml:space="preserve"> pomeni medsebojno povezavo spoznavnih struktur, integracijo spoznanj v medsebojno povezane spoznavne strukture.</w:t>
      </w:r>
    </w:p>
    <w:p w:rsidR="00000000" w:rsidRDefault="00E23759">
      <w:pPr>
        <w:rPr>
          <w:color w:val="000000"/>
        </w:rPr>
      </w:pPr>
      <w:r>
        <w:rPr>
          <w:color w:val="000000"/>
          <w:u w:val="single"/>
        </w:rPr>
        <w:t xml:space="preserve">Adaptacija ali prilagajanje </w:t>
      </w:r>
      <w:r>
        <w:rPr>
          <w:color w:val="000000"/>
        </w:rPr>
        <w:t>pomeni vzdrževanje ravnotežja med miselno stru</w:t>
      </w:r>
      <w:r>
        <w:rPr>
          <w:color w:val="000000"/>
        </w:rPr>
        <w:t>kturo in okoljem.</w:t>
      </w:r>
    </w:p>
    <w:p w:rsidR="00000000" w:rsidRDefault="00E23759">
      <w:pPr>
        <w:rPr>
          <w:color w:val="000000"/>
        </w:rPr>
      </w:pPr>
      <w:r>
        <w:rPr>
          <w:color w:val="000000"/>
        </w:rPr>
        <w:t xml:space="preserve">Uravnoteženost je kognitivno stanje, v katerem sta </w:t>
      </w:r>
      <w:r>
        <w:rPr>
          <w:color w:val="FF0000"/>
        </w:rPr>
        <w:t xml:space="preserve">asimilacija </w:t>
      </w:r>
      <w:r>
        <w:rPr>
          <w:color w:val="000000"/>
        </w:rPr>
        <w:t xml:space="preserve">(interpretacija novih izkušenj glede na obstoječe miselne strukture) in </w:t>
      </w:r>
      <w:r>
        <w:rPr>
          <w:color w:val="FF0000"/>
        </w:rPr>
        <w:t>akomodacija</w:t>
      </w:r>
      <w:r>
        <w:rPr>
          <w:color w:val="000000"/>
        </w:rPr>
        <w:t xml:space="preserve"> (prilagajanje obstoječih miselnih struktur z namenom prilagoditve novim izkušnjam) uravnote</w:t>
      </w:r>
      <w:r>
        <w:rPr>
          <w:color w:val="000000"/>
        </w:rPr>
        <w:t>ženi in se lahko posameznik prilagojeno odziva na dražljaje iz okolja. Predstavlja nenehno interakcijo med otrokovim mišljenjem in realnostjo.</w:t>
      </w:r>
    </w:p>
    <w:p w:rsidR="00000000" w:rsidRDefault="00E23759">
      <w:pPr>
        <w:rPr>
          <w:color w:val="000000"/>
        </w:rPr>
      </w:pPr>
    </w:p>
    <w:p w:rsidR="00000000" w:rsidRDefault="00E23759">
      <w:pPr>
        <w:rPr>
          <w:color w:val="000000"/>
        </w:rPr>
      </w:pPr>
    </w:p>
    <w:p w:rsidR="00000000" w:rsidRDefault="00E23759">
      <w:pPr>
        <w:rPr>
          <w:color w:val="000000"/>
        </w:rPr>
      </w:pPr>
    </w:p>
    <w:p w:rsidR="00000000" w:rsidRDefault="00E23759">
      <w:pPr>
        <w:rPr>
          <w:color w:val="000000"/>
        </w:rPr>
      </w:pPr>
    </w:p>
    <w:p w:rsidR="00000000" w:rsidRDefault="00E23759">
      <w:pPr>
        <w:rPr>
          <w:color w:val="000000"/>
        </w:rPr>
      </w:pPr>
    </w:p>
    <w:p w:rsidR="00000000" w:rsidRDefault="00E237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SOCIOKULTURNA TEORIJA VIGOTSKEGA</w:t>
      </w:r>
    </w:p>
    <w:p w:rsidR="00000000" w:rsidRDefault="00E23759">
      <w:pPr>
        <w:rPr>
          <w:color w:val="000000"/>
        </w:rPr>
      </w:pPr>
      <w:r>
        <w:rPr>
          <w:color w:val="000000"/>
        </w:rPr>
        <w:t>Gre za razvoj in učenje v dani kulturi s sodelovalnim dialogom med posamezn</w:t>
      </w:r>
      <w:r>
        <w:rPr>
          <w:color w:val="000000"/>
        </w:rPr>
        <w:t xml:space="preserve">ikom in kompetentnejšimi člani družbe. </w:t>
      </w:r>
    </w:p>
    <w:p w:rsidR="00000000" w:rsidRDefault="00E23759">
      <w:pPr>
        <w:rPr>
          <w:color w:val="000000"/>
        </w:rPr>
      </w:pPr>
      <w:r>
        <w:rPr>
          <w:color w:val="000000"/>
        </w:rPr>
        <w:t>Razlike v teorijah Piageta in Vigotskega:</w:t>
      </w:r>
    </w:p>
    <w:p w:rsidR="00000000" w:rsidRDefault="00E23759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00000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PIAGET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23759">
            <w:pPr>
              <w:pStyle w:val="Vsebinatabele"/>
            </w:pPr>
            <w:r>
              <w:t>VIGOTSKI</w:t>
            </w:r>
          </w:p>
        </w:tc>
      </w:tr>
      <w:tr w:rsidR="0000000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E23759">
            <w:pPr>
              <w:pStyle w:val="Vsebinatabe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egocentrični govor kot pomankljivost otrokovega mišljenja</w:t>
            </w:r>
          </w:p>
          <w:p w:rsidR="00000000" w:rsidRDefault="00E23759">
            <w:pPr>
              <w:pStyle w:val="Vsebinatabe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otrok naj oblikuje spoznanja po naravni liniji razvoja, govor ni pomemben</w:t>
            </w:r>
          </w:p>
          <w:p w:rsidR="00000000" w:rsidRDefault="00E23759">
            <w:pPr>
              <w:pStyle w:val="Vsebinatabe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biološka danost za</w:t>
            </w:r>
            <w:r>
              <w:rPr>
                <w:sz w:val="20"/>
                <w:szCs w:val="20"/>
              </w:rPr>
              <w:t xml:space="preserve"> razvoj</w:t>
            </w:r>
          </w:p>
          <w:p w:rsidR="00000000" w:rsidRDefault="00E23759">
            <w:pPr>
              <w:pStyle w:val="Vsebinatabe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otroka je treba pustiti, da sam dojame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23759">
            <w:pPr>
              <w:pStyle w:val="Vsebinatabele"/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egocentrični govor ima pozitivno funkcijo v razvoju</w:t>
            </w:r>
          </w:p>
          <w:p w:rsidR="00000000" w:rsidRDefault="00E23759">
            <w:pPr>
              <w:pStyle w:val="Vsebinatabele"/>
              <w:rPr>
                <w:sz w:val="20"/>
                <w:szCs w:val="20"/>
              </w:rPr>
            </w:pPr>
          </w:p>
          <w:p w:rsidR="00000000" w:rsidRDefault="00E23759">
            <w:pPr>
              <w:pStyle w:val="Vsebinatabe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razvoj govora je pomemben že v najzgodnejšem obdobju posameznikovega življenja</w:t>
            </w:r>
          </w:p>
          <w:p w:rsidR="00000000" w:rsidRDefault="00E23759">
            <w:pPr>
              <w:pStyle w:val="Vsebinatabe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pomen učenja in sociokulturnega razvoja za otroka</w:t>
            </w:r>
          </w:p>
          <w:p w:rsidR="00000000" w:rsidRDefault="00E23759">
            <w:pPr>
              <w:pStyle w:val="Vsebinatabe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odrasli mora povl</w:t>
            </w:r>
            <w:r>
              <w:rPr>
                <w:sz w:val="20"/>
                <w:szCs w:val="20"/>
              </w:rPr>
              <w:t>eči otrokov razvoj naprej</w:t>
            </w:r>
          </w:p>
          <w:p w:rsidR="00000000" w:rsidRDefault="00E23759">
            <w:pPr>
              <w:pStyle w:val="Vsebinatabe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pomen simbolnih (kulturno znakovnih) sistemov, zlasti govora (socialna vloga)</w:t>
            </w:r>
          </w:p>
        </w:tc>
      </w:tr>
    </w:tbl>
    <w:p w:rsidR="00000000" w:rsidRDefault="00E23759">
      <w:pPr>
        <w:rPr>
          <w:color w:val="000000"/>
        </w:rPr>
      </w:pPr>
    </w:p>
    <w:p w:rsidR="00000000" w:rsidRDefault="00E23759">
      <w:pPr>
        <w:rPr>
          <w:color w:val="000000"/>
        </w:rPr>
      </w:pPr>
    </w:p>
    <w:p w:rsidR="00000000" w:rsidRDefault="00E23759">
      <w:pPr>
        <w:rPr>
          <w:color w:val="000000"/>
        </w:rPr>
      </w:pPr>
      <w:r>
        <w:rPr>
          <w:color w:val="000000"/>
        </w:rPr>
        <w:t xml:space="preserve">Vigotski torej meni, da je potrebno povleči otrokov razvoj naprej do neke točke. Vmesni razvoj je </w:t>
      </w:r>
      <w:r>
        <w:rPr>
          <w:color w:val="FF0000"/>
        </w:rPr>
        <w:t xml:space="preserve">območje bližnjega razvoja. </w:t>
      </w:r>
      <w:r>
        <w:rPr>
          <w:color w:val="000000"/>
        </w:rPr>
        <w:t>To je razdalja med otr</w:t>
      </w:r>
      <w:r>
        <w:rPr>
          <w:color w:val="000000"/>
        </w:rPr>
        <w:t>okovo dejansko razvojno ravnjo, na kateri deluje, ko problem rešuje sam in ravnjo potencialnega razvoja, na kateri deluje ob pomoči odraslega (starši, učitelji, vzgojitelji). Gre za posameznikov nadaljni razvoj.</w:t>
      </w:r>
    </w:p>
    <w:p w:rsidR="00000000" w:rsidRDefault="00E23759">
      <w:pPr>
        <w:rPr>
          <w:color w:val="FF0000"/>
        </w:rPr>
      </w:pPr>
      <w:r>
        <w:rPr>
          <w:color w:val="000000"/>
        </w:rPr>
        <w:t>Posebno vlogo je Vigotski pripisoval abstrak</w:t>
      </w:r>
      <w:r>
        <w:rPr>
          <w:color w:val="000000"/>
        </w:rPr>
        <w:t xml:space="preserve">tnim </w:t>
      </w:r>
      <w:r>
        <w:rPr>
          <w:color w:val="FF0000"/>
        </w:rPr>
        <w:t>znanstvenim pojmom</w:t>
      </w:r>
      <w:r>
        <w:rPr>
          <w:color w:val="000000"/>
        </w:rPr>
        <w:t xml:space="preserve"> (matematični, naravoslovni, družbeni pojmi). Ti pojmi se razlikujejo od pojmov, ki jih otrok sam pridobi na podlagi lastnih izkušenj – </w:t>
      </w:r>
      <w:r>
        <w:rPr>
          <w:color w:val="FF0000"/>
        </w:rPr>
        <w:t xml:space="preserve">spontanih pojmov. </w:t>
      </w:r>
    </w:p>
    <w:p w:rsidR="00000000" w:rsidRDefault="00E23759">
      <w:pPr>
        <w:rPr>
          <w:color w:val="FF0000"/>
        </w:rPr>
      </w:pPr>
    </w:p>
    <w:p w:rsidR="00000000" w:rsidRDefault="00E237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VEDENJSKE TEORIJE OZ: TEORIJE UČENJA (behavioristične)</w:t>
      </w:r>
    </w:p>
    <w:p w:rsidR="00000000" w:rsidRDefault="00E23759">
      <w:pPr>
        <w:rPr>
          <w:color w:val="000000"/>
        </w:rPr>
      </w:pPr>
      <w:r>
        <w:rPr>
          <w:color w:val="000000"/>
        </w:rPr>
        <w:t>Učenje je stalen proce</w:t>
      </w:r>
      <w:r>
        <w:rPr>
          <w:color w:val="000000"/>
        </w:rPr>
        <w:t>s, rezultat izkušenj, opazovanj in treninga, ki se rezultira v spremembah vedenja.</w:t>
      </w:r>
    </w:p>
    <w:p w:rsidR="00000000" w:rsidRDefault="00E23759">
      <w:pPr>
        <w:rPr>
          <w:color w:val="000000"/>
        </w:rPr>
      </w:pPr>
      <w:r>
        <w:rPr>
          <w:color w:val="FF0000"/>
        </w:rPr>
        <w:t>Podkrepitev vedenja</w:t>
      </w:r>
      <w:r>
        <w:rPr>
          <w:color w:val="000000"/>
        </w:rPr>
        <w:t xml:space="preserve"> – utrdijo se vedenja, ki so bila deležna pozitivne ali negativne podkrepitve.</w:t>
      </w:r>
    </w:p>
    <w:p w:rsidR="00000000" w:rsidRDefault="00E23759">
      <w:pPr>
        <w:rPr>
          <w:color w:val="000000"/>
        </w:rPr>
      </w:pPr>
      <w:r>
        <w:rPr>
          <w:color w:val="000000"/>
          <w:u w:val="single"/>
        </w:rPr>
        <w:t xml:space="preserve">Pozitivna podkrepitev </w:t>
      </w:r>
      <w:r>
        <w:rPr>
          <w:color w:val="000000"/>
        </w:rPr>
        <w:t>– določeno vedenje utrdi nekajprijetnega, zaželjenega</w:t>
      </w:r>
      <w:r>
        <w:rPr>
          <w:color w:val="000000"/>
        </w:rPr>
        <w:t>, ugodnega, npr. bonboni, pohvala, nasmeh.</w:t>
      </w:r>
    </w:p>
    <w:p w:rsidR="00000000" w:rsidRDefault="00E23759">
      <w:pPr>
        <w:rPr>
          <w:color w:val="000000"/>
        </w:rPr>
      </w:pPr>
      <w:r>
        <w:rPr>
          <w:color w:val="000000"/>
          <w:u w:val="single"/>
        </w:rPr>
        <w:t>Negativna podkrepitev</w:t>
      </w:r>
      <w:r>
        <w:rPr>
          <w:color w:val="000000"/>
        </w:rPr>
        <w:t xml:space="preserve"> – odstranitev neprijetne ovire, odstranjevanje in izogibanje neprijetnih dražljajev.</w:t>
      </w:r>
    </w:p>
    <w:p w:rsidR="00000000" w:rsidRDefault="00E23759">
      <w:pPr>
        <w:rPr>
          <w:color w:val="FF0000"/>
        </w:rPr>
      </w:pPr>
      <w:r>
        <w:rPr>
          <w:color w:val="FF0000"/>
        </w:rPr>
        <w:t>Vrste podkrepitev:</w:t>
      </w:r>
    </w:p>
    <w:p w:rsidR="00000000" w:rsidRDefault="00E23759">
      <w:pPr>
        <w:rPr>
          <w:color w:val="000000"/>
        </w:rPr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>zunanje,</w:t>
      </w:r>
      <w:r>
        <w:rPr>
          <w:color w:val="000000"/>
        </w:rPr>
        <w:t xml:space="preserve"> ki izhajajo iz okolja</w:t>
      </w:r>
    </w:p>
    <w:p w:rsidR="00000000" w:rsidRDefault="00E23759">
      <w:pPr>
        <w:rPr>
          <w:color w:val="000000"/>
        </w:rPr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>notranje</w:t>
      </w:r>
      <w:r>
        <w:rPr>
          <w:color w:val="000000"/>
        </w:rPr>
        <w:t>, ki izhajajo iz posameznika.</w:t>
      </w:r>
    </w:p>
    <w:p w:rsidR="00000000" w:rsidRDefault="00E23759">
      <w:pPr>
        <w:rPr>
          <w:color w:val="000000"/>
        </w:rPr>
      </w:pPr>
      <w:r>
        <w:rPr>
          <w:color w:val="000000"/>
        </w:rPr>
        <w:t>Kazen, npr. ve</w:t>
      </w:r>
      <w:r>
        <w:rPr>
          <w:color w:val="000000"/>
        </w:rPr>
        <w:t>rbalna kritika, odtegnitev privilegijev...s katero se želi odstraniti neželjeno vedenje ni ustrezen način za trajno rešitev vedenja; posamezniku ne nudi možnosti, da bi se naučil želenega vedenja.</w:t>
      </w:r>
    </w:p>
    <w:p w:rsidR="00000000" w:rsidRDefault="00E23759">
      <w:pPr>
        <w:rPr>
          <w:color w:val="000000"/>
        </w:rPr>
      </w:pPr>
      <w:r>
        <w:rPr>
          <w:color w:val="000000"/>
        </w:rPr>
        <w:t>Behavioristi dajejo prednost podkrepitvi.</w:t>
      </w:r>
    </w:p>
    <w:p w:rsidR="00000000" w:rsidRDefault="00E23759">
      <w:pPr>
        <w:rPr>
          <w:color w:val="000000"/>
        </w:rPr>
      </w:pPr>
      <w:r>
        <w:rPr>
          <w:color w:val="000000"/>
        </w:rPr>
        <w:t>Pomembno:</w:t>
      </w:r>
    </w:p>
    <w:p w:rsidR="00000000" w:rsidRDefault="00E23759">
      <w:pPr>
        <w:rPr>
          <w:color w:val="000000"/>
        </w:rPr>
      </w:pPr>
      <w:r>
        <w:rPr>
          <w:color w:val="000000"/>
        </w:rPr>
        <w:t>- podkr</w:t>
      </w:r>
      <w:r>
        <w:rPr>
          <w:color w:val="000000"/>
        </w:rPr>
        <w:t>epitev takoj,</w:t>
      </w:r>
    </w:p>
    <w:p w:rsidR="00000000" w:rsidRDefault="00E23759">
      <w:pPr>
        <w:rPr>
          <w:color w:val="000000"/>
        </w:rPr>
      </w:pPr>
      <w:r>
        <w:rPr>
          <w:color w:val="000000"/>
        </w:rPr>
        <w:t>- doslednost pri podkrepitvi določenega vedenja.</w:t>
      </w:r>
    </w:p>
    <w:p w:rsidR="00000000" w:rsidRDefault="00E23759">
      <w:pPr>
        <w:rPr>
          <w:color w:val="000000"/>
        </w:rPr>
      </w:pPr>
    </w:p>
    <w:p w:rsidR="00000000" w:rsidRDefault="00E237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TEORIJE SOCIALNEGA UČENJA</w:t>
      </w:r>
    </w:p>
    <w:p w:rsidR="00000000" w:rsidRDefault="00E23759">
      <w:pPr>
        <w:rPr>
          <w:color w:val="000000"/>
        </w:rPr>
      </w:pPr>
    </w:p>
    <w:p w:rsidR="00000000" w:rsidRDefault="00E23759">
      <w:pPr>
        <w:rPr>
          <w:color w:val="000000"/>
        </w:rPr>
      </w:pPr>
      <w:r>
        <w:rPr>
          <w:color w:val="000000"/>
        </w:rPr>
        <w:t xml:space="preserve">Učenje temelji na enostavnem učenju z opazovanjem in učenju s posnemanjem vedenja drugih oseb. </w:t>
      </w:r>
      <w:r>
        <w:rPr>
          <w:color w:val="0000FF"/>
        </w:rPr>
        <w:t xml:space="preserve">Bandura </w:t>
      </w:r>
      <w:r>
        <w:rPr>
          <w:color w:val="000000"/>
        </w:rPr>
        <w:t>je svojo teorijo socialnega učenja povezal s spoznavnimi teori</w:t>
      </w:r>
      <w:r>
        <w:rPr>
          <w:color w:val="000000"/>
        </w:rPr>
        <w:t>jami in jo poimenoval socialnospoznavna teorija. Meni, da spoznavni razvoj sam po sebi ni zadosten, pomembni so procesi učenja, ki pa so pod vplivom otrokovih sposobnosti.</w:t>
      </w:r>
    </w:p>
    <w:p w:rsidR="00E23759" w:rsidRDefault="00E23759">
      <w:r>
        <w:rPr>
          <w:color w:val="000000"/>
        </w:rPr>
        <w:t>Socialnokognitivni model, ki ga je za svojo razlago razvoja oblikoval Bandura, temel</w:t>
      </w:r>
      <w:r>
        <w:rPr>
          <w:color w:val="000000"/>
        </w:rPr>
        <w:t>ji na medsebojni interakciji treh procesov:osebe, vedenja in okolja.</w:t>
      </w:r>
    </w:p>
    <w:sectPr w:rsidR="00E23759">
      <w:footerReference w:type="default" r:id="rId7"/>
      <w:footnotePr>
        <w:pos w:val="beneathText"/>
      </w:footnotePr>
      <w:pgSz w:w="11905" w:h="16837"/>
      <w:pgMar w:top="737" w:right="1134" w:bottom="1360" w:left="1134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59" w:rsidRDefault="00E23759">
      <w:r>
        <w:separator/>
      </w:r>
    </w:p>
  </w:endnote>
  <w:endnote w:type="continuationSeparator" w:id="0">
    <w:p w:rsidR="00E23759" w:rsidRDefault="00E2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375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E5B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59" w:rsidRDefault="00E23759">
      <w:r>
        <w:separator/>
      </w:r>
    </w:p>
  </w:footnote>
  <w:footnote w:type="continuationSeparator" w:id="0">
    <w:p w:rsidR="00E23759" w:rsidRDefault="00E2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B81"/>
    <w:rsid w:val="007E5B81"/>
    <w:rsid w:val="00E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znake">
    <w:name w:val="Oznake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tle">
    <w:name w:val="Title"/>
    <w:basedOn w:val="Naslov"/>
    <w:next w:val="Subtitle"/>
    <w:qFormat/>
  </w:style>
  <w:style w:type="paragraph" w:styleId="Subtitle">
    <w:name w:val="Subtitle"/>
    <w:basedOn w:val="Naslov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semiHidden/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Vsebinatabele">
    <w:name w:val="Vsebina tabele"/>
    <w:basedOn w:val="Normal"/>
    <w:pPr>
      <w:suppressLineNumbers/>
    </w:p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sevcnikar</dc:creator>
  <cp:lastModifiedBy>Jaka</cp:lastModifiedBy>
  <cp:revision>2</cp:revision>
  <cp:lastPrinted>2112-12-31T23:00:00Z</cp:lastPrinted>
  <dcterms:created xsi:type="dcterms:W3CDTF">2014-03-19T11:19:00Z</dcterms:created>
  <dcterms:modified xsi:type="dcterms:W3CDTF">2014-03-19T11:19:00Z</dcterms:modified>
</cp:coreProperties>
</file>