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A" w:rsidRPr="0031530A" w:rsidRDefault="0031530A" w:rsidP="003153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1530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Konveksna optimizacija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31530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Optimizacijska naloga 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proofErr w:type="spellStart"/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3153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konveksna optimizacijska naloga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velja:</w:t>
      </w:r>
      <w:r w:rsidRPr="0031530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konveksna množica v </w:t>
      </w:r>
      <w:proofErr w:type="spellStart"/>
      <w:r w:rsidRPr="0031530A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31530A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konveksna funkcija,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proofErr w:type="spellStart"/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opt</w:t>
      </w:r>
      <w:proofErr w:type="spellEnd"/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=min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31530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Množica 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31530A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3153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konveksna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za vse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[0,1]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  <w:proofErr w:type="spellStart"/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λx</w:t>
      </w:r>
      <w:proofErr w:type="spellEnd"/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+(1−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Pokazali smo, da je presek vsake družine konveksnih množic v </w:t>
      </w:r>
      <w:proofErr w:type="spellStart"/>
      <w:r w:rsidRPr="0031530A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konveksen, in da je vsota konveksnih množic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konveksna.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31530A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bodo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31530A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31530A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31530A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Vektor </w:t>
      </w:r>
      <w:r w:rsidRPr="0031530A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ki</w:t>
      </w:r>
      <w:r w:rsidRPr="0031530A">
        <w:rPr>
          <w:rFonts w:ascii="MathJax_Main" w:eastAsia="Times New Roman" w:hAnsi="MathJax_Main" w:cs="Times New Roman"/>
          <w:sz w:val="20"/>
          <w:szCs w:val="20"/>
          <w:lang w:eastAsia="sl-SI"/>
        </w:rPr>
        <w:t>=1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3153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konveksna kombinacija</w:t>
      </w:r>
      <w:r w:rsidRPr="0031530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vektorjev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velja: 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proofErr w:type="spellEnd"/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31530A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ki</w:t>
      </w:r>
      <w:r w:rsidRPr="0031530A">
        <w:rPr>
          <w:rFonts w:ascii="MathJax_Main" w:eastAsia="Times New Roman" w:hAnsi="MathJax_Main" w:cs="Times New Roman"/>
          <w:sz w:val="20"/>
          <w:szCs w:val="20"/>
          <w:lang w:eastAsia="sl-SI"/>
        </w:rPr>
        <w:t>=1</w:t>
      </w:r>
      <w:r w:rsidRPr="0031530A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31530A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31530A">
        <w:rPr>
          <w:rFonts w:ascii="MathJax_Main" w:eastAsia="Times New Roman" w:hAnsi="MathJax_Main" w:cs="Times New Roman"/>
          <w:sz w:val="29"/>
          <w:szCs w:val="29"/>
          <w:lang w:eastAsia="sl-SI"/>
        </w:rPr>
        <w:t>=1</w:t>
      </w: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1530A" w:rsidRPr="0031530A" w:rsidRDefault="0031530A" w:rsidP="0031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30A">
        <w:rPr>
          <w:rFonts w:ascii="Times New Roman" w:eastAsia="Times New Roman" w:hAnsi="Times New Roman" w:cs="Times New Roman"/>
          <w:sz w:val="24"/>
          <w:szCs w:val="24"/>
          <w:lang w:eastAsia="sl-SI"/>
        </w:rPr>
        <w:t>Pokazali smo, da konveksna množica vsebuje vse konveksne kombinacije svojih elementov.</w:t>
      </w:r>
    </w:p>
    <w:p w:rsidR="0031530A" w:rsidRDefault="0031530A" w:rsidP="0031530A">
      <w:pPr>
        <w:pStyle w:val="NormalWeb"/>
      </w:pPr>
      <w:r>
        <w:t xml:space="preserve">Pokazali smo, da je vsak </w:t>
      </w:r>
      <w:r>
        <w:rPr>
          <w:i/>
          <w:iCs/>
        </w:rPr>
        <w:t xml:space="preserve">afini </w:t>
      </w:r>
      <w:proofErr w:type="spellStart"/>
      <w:r>
        <w:rPr>
          <w:i/>
          <w:iCs/>
        </w:rPr>
        <w:t>podprostor</w:t>
      </w:r>
      <w:proofErr w:type="spellEnd"/>
      <w:r>
        <w:t xml:space="preserve"> v </w:t>
      </w:r>
      <w:proofErr w:type="spellStart"/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t xml:space="preserve"> konveksna množica.</w:t>
      </w:r>
    </w:p>
    <w:p w:rsidR="0031530A" w:rsidRDefault="0031530A" w:rsidP="0031530A">
      <w:pPr>
        <w:pStyle w:val="NormalWeb"/>
      </w:pPr>
      <w:r>
        <w:br/>
      </w:r>
      <w:r>
        <w:rPr>
          <w:b/>
          <w:bCs/>
        </w:rPr>
        <w:t>Konveksna ovojnica</w:t>
      </w:r>
      <w:r>
        <w:t xml:space="preserve">  </w:t>
      </w:r>
      <w:r>
        <w:rPr>
          <w:rStyle w:val="mi"/>
          <w:rFonts w:ascii="MathJax_Caligraphic" w:hAnsi="MathJax_Caligraphic"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poljubne množice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Cambria Math" w:hAnsi="Cambria Math" w:cs="Cambria Math"/>
          <w:sz w:val="29"/>
          <w:szCs w:val="29"/>
        </w:rPr>
        <w:t>⊆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r>
        <w:t xml:space="preserve"> je presek družine vseh konveksnih množic, ki vsebujejo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t xml:space="preserve">. Pokazali smo, da je </w:t>
      </w:r>
      <w:r>
        <w:rPr>
          <w:rStyle w:val="mi"/>
          <w:rFonts w:ascii="MathJax_Caligraphic" w:hAnsi="MathJax_Caligraphic"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najmanjša konveksna množica, ki vsebuje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t xml:space="preserve">, in da je enaka množici vseh konveksnih kombinacij elementov množice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t>.</w:t>
      </w:r>
    </w:p>
    <w:p w:rsidR="0031530A" w:rsidRDefault="0031530A" w:rsidP="0031530A">
      <w:pPr>
        <w:pStyle w:val="NormalWeb"/>
      </w:pPr>
      <w:r>
        <w:t xml:space="preserve">Vsaka </w:t>
      </w:r>
      <w:proofErr w:type="spellStart"/>
      <w:r>
        <w:rPr>
          <w:i/>
          <w:iCs/>
        </w:rPr>
        <w:t>hiperravnina</w:t>
      </w:r>
      <w:proofErr w:type="spellEnd"/>
      <w:r>
        <w:rPr>
          <w:i/>
          <w:iCs/>
        </w:rPr>
        <w:t xml:space="preserve"> </w:t>
      </w:r>
      <w:r>
        <w:t xml:space="preserve">in vsak </w:t>
      </w:r>
      <w:r>
        <w:rPr>
          <w:i/>
          <w:iCs/>
        </w:rPr>
        <w:t xml:space="preserve">zaprt </w:t>
      </w:r>
      <w:proofErr w:type="spellStart"/>
      <w:r>
        <w:rPr>
          <w:i/>
          <w:iCs/>
        </w:rPr>
        <w:t>polprostor</w:t>
      </w:r>
      <w:proofErr w:type="spellEnd"/>
      <w:r>
        <w:t xml:space="preserve"> je konveksna množica. Presek končno mnogo zaprtih </w:t>
      </w:r>
      <w:proofErr w:type="spellStart"/>
      <w:r>
        <w:t>polprostorov</w:t>
      </w:r>
      <w:proofErr w:type="spellEnd"/>
      <w:r>
        <w:t xml:space="preserve"> imenujemo </w:t>
      </w:r>
      <w:r>
        <w:rPr>
          <w:rStyle w:val="Strong"/>
          <w:i/>
          <w:iCs/>
        </w:rPr>
        <w:t>konveksni polieder</w:t>
      </w:r>
      <w:r>
        <w:t>. </w:t>
      </w:r>
    </w:p>
    <w:p w:rsidR="0031530A" w:rsidRDefault="0031530A" w:rsidP="0031530A">
      <w:pPr>
        <w:pStyle w:val="NormalWeb"/>
      </w:pPr>
      <w:r>
        <w:t xml:space="preserve">Definirali smo </w:t>
      </w:r>
      <w:r>
        <w:rPr>
          <w:rStyle w:val="Strong"/>
          <w:i/>
          <w:iCs/>
        </w:rPr>
        <w:t>konveksne stožce</w:t>
      </w:r>
      <w:r>
        <w:t xml:space="preserve"> v </w:t>
      </w:r>
      <w:proofErr w:type="spellStart"/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t xml:space="preserve"> kot množice, ki hkrati s katerimakoli svojima točkama vsebujejo tudi vse njune nenegativne linearne kombinacije. Množico 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2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m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, kjer so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2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m</w:t>
      </w:r>
      <w:r>
        <w:t xml:space="preserve"> vektorji v </w:t>
      </w:r>
      <w:proofErr w:type="spellStart"/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t xml:space="preserve">, smo imenovali </w:t>
      </w:r>
      <w:r>
        <w:rPr>
          <w:rStyle w:val="Emphasis"/>
        </w:rPr>
        <w:t>konveksni stožec, ki ga razpenjajo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2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m</w:t>
      </w:r>
      <w:r>
        <w:t xml:space="preserve">. Množici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Cambria Math" w:hAnsi="Cambria Math" w:cs="Cambria Math"/>
          <w:sz w:val="29"/>
          <w:szCs w:val="29"/>
        </w:rPr>
        <w:t>⊆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r>
        <w:t xml:space="preserve"> smo priredili njen </w:t>
      </w:r>
      <w:r>
        <w:rPr>
          <w:rStyle w:val="Emphasis"/>
        </w:rPr>
        <w:t>dualni stožec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t xml:space="preserve">, ki vsebuje tiste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r>
        <w:t xml:space="preserve">, ki z vsakim elementom množice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t xml:space="preserve"> tvorijo oster ali pravi kot.</w:t>
      </w:r>
    </w:p>
    <w:p w:rsidR="0031530A" w:rsidRDefault="0031530A" w:rsidP="0031530A">
      <w:pPr>
        <w:pStyle w:val="NormalWeb"/>
      </w:pPr>
      <w:r>
        <w:br/>
      </w:r>
      <w:proofErr w:type="spellStart"/>
      <w:r>
        <w:rPr>
          <w:rStyle w:val="Emphasis"/>
          <w:b/>
          <w:bCs/>
        </w:rPr>
        <w:t>Farkaseva</w:t>
      </w:r>
      <w:proofErr w:type="spellEnd"/>
      <w:r>
        <w:rPr>
          <w:rStyle w:val="Emphasis"/>
          <w:b/>
          <w:bCs/>
        </w:rPr>
        <w:t xml:space="preserve"> lema</w:t>
      </w:r>
      <w:r>
        <w:rPr>
          <w:rStyle w:val="Emphasis"/>
        </w:rPr>
        <w:t xml:space="preserve"> </w:t>
      </w:r>
      <w:r>
        <w:rPr>
          <w:rStyle w:val="Emphasis"/>
          <w:b/>
          <w:bCs/>
        </w:rPr>
        <w:t>v geometrijski obliki (</w:t>
      </w:r>
      <w:proofErr w:type="spellStart"/>
      <w:r>
        <w:rPr>
          <w:rStyle w:val="Emphasis"/>
          <w:b/>
          <w:bCs/>
        </w:rPr>
        <w:t>FLg</w:t>
      </w:r>
      <w:proofErr w:type="spellEnd"/>
      <w:r>
        <w:rPr>
          <w:rStyle w:val="Emphasis"/>
          <w:b/>
          <w:bCs/>
        </w:rPr>
        <w:t>)</w:t>
      </w:r>
      <w:r>
        <w:rPr>
          <w:rStyle w:val="Emphasis"/>
        </w:rPr>
        <w:t xml:space="preserve">: </w:t>
      </w:r>
    </w:p>
    <w:p w:rsidR="0031530A" w:rsidRDefault="0031530A" w:rsidP="0031530A">
      <w:pPr>
        <w:pStyle w:val="NormalWeb"/>
      </w:pP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2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m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mo"/>
          <w:rFonts w:ascii="Cambria Math" w:hAnsi="Cambria Math" w:cs="Cambria Math"/>
          <w:sz w:val="20"/>
          <w:szCs w:val="20"/>
        </w:rPr>
        <w:t>∗∗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S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2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m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br/>
      </w:r>
      <w:r>
        <w:br/>
      </w:r>
      <w:r>
        <w:rPr>
          <w:rStyle w:val="Emphasis"/>
          <w:b/>
          <w:bCs/>
        </w:rPr>
        <w:t>Farkaseva lema v algebraični obliki,</w:t>
      </w:r>
      <w:r>
        <w:rPr>
          <w:rStyle w:val="Emphasis"/>
        </w:rPr>
        <w:t xml:space="preserve"> </w:t>
      </w:r>
      <w:r>
        <w:rPr>
          <w:rStyle w:val="Emphasis"/>
          <w:b/>
          <w:bCs/>
        </w:rPr>
        <w:t>1. varianta (FLa1)</w:t>
      </w:r>
      <w:r>
        <w:rPr>
          <w:rStyle w:val="Emphasis"/>
        </w:rPr>
        <w:t xml:space="preserve">: </w:t>
      </w:r>
    </w:p>
    <w:p w:rsidR="0031530A" w:rsidRDefault="0031530A" w:rsidP="0031530A">
      <w:pPr>
        <w:pStyle w:val="NormalWeb"/>
      </w:pPr>
      <w:r>
        <w:rPr>
          <w:rStyle w:val="mi"/>
          <w:rFonts w:ascii="Cambria Math" w:hAnsi="Cambria Math" w:cs="Cambria Math"/>
          <w:sz w:val="29"/>
          <w:szCs w:val="29"/>
        </w:rPr>
        <w:lastRenderedPageBreak/>
        <w:t>∃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Ax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Cambria Math" w:hAnsi="Cambria Math" w:cs="Cambria Math"/>
          <w:sz w:val="29"/>
          <w:szCs w:val="29"/>
        </w:rPr>
        <w:t>⟺</w:t>
      </w:r>
      <w:r>
        <w:rPr>
          <w:rStyle w:val="mi"/>
          <w:rFonts w:ascii="Cambria Math" w:hAnsi="Cambria Math" w:cs="Cambria Math"/>
          <w:sz w:val="29"/>
          <w:szCs w:val="29"/>
        </w:rPr>
        <w:t>∀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:(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T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Cambria Math" w:hAnsi="Cambria Math" w:cs="Cambria Math"/>
          <w:sz w:val="29"/>
          <w:szCs w:val="29"/>
        </w:rPr>
        <w:t>⇒⟨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Emphasis"/>
        </w:rPr>
        <w:t>.</w:t>
      </w:r>
      <w:r>
        <w:br/>
      </w:r>
      <w:r>
        <w:br/>
      </w:r>
      <w:proofErr w:type="spellStart"/>
      <w:r>
        <w:rPr>
          <w:rStyle w:val="Emphasis"/>
          <w:b/>
          <w:bCs/>
        </w:rPr>
        <w:t>Farkaseva</w:t>
      </w:r>
      <w:proofErr w:type="spellEnd"/>
      <w:r>
        <w:rPr>
          <w:rStyle w:val="Emphasis"/>
          <w:b/>
          <w:bCs/>
        </w:rPr>
        <w:t xml:space="preserve"> lema v algebraični obliki,</w:t>
      </w:r>
      <w:r>
        <w:rPr>
          <w:rStyle w:val="Emphasis"/>
        </w:rPr>
        <w:t xml:space="preserve"> </w:t>
      </w:r>
      <w:r>
        <w:rPr>
          <w:rStyle w:val="Emphasis"/>
          <w:b/>
          <w:bCs/>
        </w:rPr>
        <w:t>2. varianta (FLa2)</w:t>
      </w:r>
      <w:r>
        <w:rPr>
          <w:rStyle w:val="Emphasis"/>
        </w:rPr>
        <w:t xml:space="preserve">: </w:t>
      </w:r>
      <w:r>
        <w:rPr>
          <w:i/>
          <w:iCs/>
        </w:rPr>
        <w:br/>
      </w:r>
      <w:r>
        <w:br/>
      </w:r>
      <w:r>
        <w:rPr>
          <w:rStyle w:val="mi"/>
          <w:rFonts w:ascii="Cambria Math" w:hAnsi="Cambria Math" w:cs="Cambria Math"/>
          <w:sz w:val="29"/>
          <w:szCs w:val="29"/>
        </w:rPr>
        <w:t>∃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Ax</w:t>
      </w:r>
      <w:r>
        <w:rPr>
          <w:rStyle w:val="mo"/>
          <w:rFonts w:ascii="MathJax_Main" w:hAnsi="MathJax_Main"/>
          <w:sz w:val="29"/>
          <w:szCs w:val="29"/>
        </w:rPr>
        <w:t>≤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Cambria Math" w:hAnsi="Cambria Math" w:cs="Cambria Math"/>
          <w:sz w:val="29"/>
          <w:szCs w:val="29"/>
        </w:rPr>
        <w:t>⟺</w:t>
      </w:r>
      <w:r>
        <w:rPr>
          <w:rStyle w:val="mi"/>
          <w:rFonts w:ascii="Cambria Math" w:hAnsi="Cambria Math" w:cs="Cambria Math"/>
          <w:sz w:val="29"/>
          <w:szCs w:val="29"/>
        </w:rPr>
        <w:t>∀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:(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T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Cambria Math" w:hAnsi="Cambria Math" w:cs="Cambria Math"/>
          <w:sz w:val="29"/>
          <w:szCs w:val="29"/>
        </w:rPr>
        <w:t>⇒⟨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Emphasis"/>
        </w:rPr>
        <w:t>.</w:t>
      </w:r>
      <w:r>
        <w:br/>
      </w:r>
      <w:r>
        <w:br/>
      </w:r>
      <w:proofErr w:type="spellStart"/>
      <w:r>
        <w:t>Farkasevo</w:t>
      </w:r>
      <w:proofErr w:type="spellEnd"/>
      <w:r>
        <w:t xml:space="preserve"> lemo </w:t>
      </w:r>
      <w:r>
        <w:rPr>
          <w:rStyle w:val="Emphasis"/>
        </w:rPr>
        <w:t>FLa1</w:t>
      </w:r>
      <w:r>
        <w:t xml:space="preserve"> lahko uporabimo za dokazovanje nerešljivosti sistema linearnih enačb, </w:t>
      </w:r>
      <w:r>
        <w:rPr>
          <w:rStyle w:val="Emphasis"/>
        </w:rPr>
        <w:t>FLa2</w:t>
      </w:r>
      <w:r>
        <w:t xml:space="preserve"> pa za dokazovanje nerešljivosti sistema linearnih neenačb.</w:t>
      </w:r>
    </w:p>
    <w:p w:rsidR="0031530A" w:rsidRDefault="0031530A" w:rsidP="0031530A">
      <w:pPr>
        <w:pStyle w:val="NormalWeb"/>
      </w:pPr>
      <w:r>
        <w:rPr>
          <w:rStyle w:val="Strong"/>
          <w:i/>
          <w:iCs/>
        </w:rPr>
        <w:t>Definicija</w:t>
      </w:r>
      <w:r>
        <w:rPr>
          <w:i/>
          <w:iCs/>
        </w:rPr>
        <w:t>.</w:t>
      </w:r>
      <w:r>
        <w:t xml:space="preserve"> Preslikava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 xml:space="preserve">, kjer je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t xml:space="preserve"> konveksna podmnožica evklidskega prostora </w:t>
      </w:r>
      <w:proofErr w:type="spellStart"/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t xml:space="preserve">, je </w:t>
      </w:r>
      <w:r>
        <w:rPr>
          <w:b/>
          <w:bCs/>
        </w:rPr>
        <w:t>konveksna funkcija</w:t>
      </w:r>
      <w:r>
        <w:t xml:space="preserve">, če za vse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λ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o"/>
          <w:rFonts w:ascii="MathJax_Main" w:hAnsi="MathJax_Main"/>
          <w:sz w:val="29"/>
          <w:szCs w:val="29"/>
        </w:rPr>
        <w:t>[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]</w:t>
      </w:r>
      <w:r>
        <w:t xml:space="preserve"> velja: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λx</w:t>
      </w:r>
      <w:proofErr w:type="spellEnd"/>
      <w:r>
        <w:rPr>
          <w:rStyle w:val="mo"/>
          <w:rFonts w:ascii="MathJax_Main" w:hAnsi="MathJax_Main"/>
          <w:sz w:val="29"/>
          <w:szCs w:val="29"/>
        </w:rPr>
        <w:t>+(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−</w:t>
      </w:r>
      <w:r>
        <w:rPr>
          <w:rStyle w:val="mi"/>
          <w:rFonts w:ascii="MathJax_Math" w:hAnsi="MathJax_Math"/>
          <w:i/>
          <w:iCs/>
          <w:sz w:val="29"/>
          <w:szCs w:val="29"/>
        </w:rPr>
        <w:t>λ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)≤</w:t>
      </w:r>
      <w:r>
        <w:rPr>
          <w:rStyle w:val="mi"/>
          <w:rFonts w:ascii="MathJax_Math" w:hAnsi="MathJax_Math"/>
          <w:i/>
          <w:iCs/>
          <w:sz w:val="29"/>
          <w:szCs w:val="29"/>
        </w:rPr>
        <w:t>λf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)+(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−</w:t>
      </w:r>
      <w:r>
        <w:rPr>
          <w:rStyle w:val="mi"/>
          <w:rFonts w:ascii="MathJax_Math" w:hAnsi="MathJax_Math"/>
          <w:i/>
          <w:iCs/>
          <w:sz w:val="29"/>
          <w:szCs w:val="29"/>
        </w:rPr>
        <w:t>λ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.</w:t>
      </w:r>
    </w:p>
    <w:p w:rsidR="0031530A" w:rsidRDefault="0031530A" w:rsidP="0031530A">
      <w:pPr>
        <w:pStyle w:val="NormalWeb"/>
      </w:pPr>
      <w:r>
        <w:t>Geometrijsko: zveznica dveh točk na grafu konveksne funkcije leži nad grafom.</w:t>
      </w:r>
    </w:p>
    <w:p w:rsidR="0031530A" w:rsidRDefault="0031530A" w:rsidP="0031530A">
      <w:pPr>
        <w:pStyle w:val="NormalWeb"/>
      </w:pPr>
      <w:r>
        <w:rPr>
          <w:rStyle w:val="Strong"/>
          <w:i/>
          <w:iCs/>
        </w:rPr>
        <w:t>Zgledi</w:t>
      </w:r>
      <w:r>
        <w:rPr>
          <w:i/>
          <w:iCs/>
        </w:rPr>
        <w:t>:</w:t>
      </w:r>
      <w:r>
        <w:t xml:space="preserve"> Preslikava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 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i/>
          <w:iCs/>
        </w:rPr>
        <w:t xml:space="preserve">, </w:t>
      </w:r>
      <w:r>
        <w:t xml:space="preserve">kjer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n"/>
          <w:rFonts w:ascii="MathJax_Main" w:hAnsi="MathJax_Main"/>
          <w:sz w:val="20"/>
          <w:szCs w:val="20"/>
        </w:rPr>
        <w:t>2</w:t>
      </w:r>
      <w:r>
        <w:t>, je konveksna funkcija. Vsaka linearna funkcija, vsaka afina funkcija in vsaka norma je konveksna funkcija. </w:t>
      </w:r>
    </w:p>
    <w:p w:rsidR="0031530A" w:rsidRDefault="0031530A" w:rsidP="0031530A">
      <w:pPr>
        <w:pStyle w:val="NormalWeb"/>
      </w:pPr>
      <w:r>
        <w:rPr>
          <w:rStyle w:val="Strong"/>
          <w:i/>
          <w:iCs/>
        </w:rPr>
        <w:t>Lastnosti zaprtosti za operacije</w:t>
      </w:r>
      <w:r>
        <w:rPr>
          <w:rStyle w:val="Emphasis"/>
        </w:rPr>
        <w:t>:</w:t>
      </w:r>
    </w:p>
    <w:p w:rsidR="0031530A" w:rsidRDefault="0031530A" w:rsidP="0031530A">
      <w:pPr>
        <w:pStyle w:val="NormalWeb"/>
      </w:pPr>
      <w:r>
        <w:t>1. Vsota konveksnih funkcij je konveksna.</w:t>
      </w:r>
    </w:p>
    <w:p w:rsidR="0031530A" w:rsidRDefault="0031530A" w:rsidP="0031530A">
      <w:pPr>
        <w:pStyle w:val="NormalWeb"/>
      </w:pPr>
      <w:r>
        <w:t>2. Produkt konveksne funkcije z nenegativno konstanto je konveksen.</w:t>
      </w:r>
    </w:p>
    <w:p w:rsidR="0031530A" w:rsidRDefault="0031530A" w:rsidP="0031530A">
      <w:pPr>
        <w:pStyle w:val="NormalWeb"/>
      </w:pPr>
      <w:r>
        <w:t xml:space="preserve">3. Naj bo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Cambria Math" w:hAnsi="Cambria Math" w:cs="Cambria Math"/>
          <w:sz w:val="29"/>
          <w:szCs w:val="29"/>
        </w:rPr>
        <w:t>⊆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r>
        <w:t xml:space="preserve"> konveksna množica.</w:t>
      </w:r>
    </w:p>
    <w:p w:rsidR="0031530A" w:rsidRDefault="0031530A" w:rsidP="0031530A">
      <w:pPr>
        <w:pStyle w:val="NormalWeb"/>
      </w:pPr>
      <w:proofErr w:type="spellStart"/>
      <w:r>
        <w:t>3.a</w:t>
      </w:r>
      <w:proofErr w:type="spellEnd"/>
      <w:r>
        <w:t xml:space="preserve">) Če je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k</w:t>
      </w:r>
      <w:r>
        <w:t xml:space="preserve"> linearna in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)→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 xml:space="preserve"> konveksna, je </w:t>
      </w:r>
      <w:proofErr w:type="spellStart"/>
      <w:r>
        <w:t>kompozitum</w:t>
      </w:r>
      <w:proofErr w:type="spellEnd"/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Cambria Math" w:hAnsi="Cambria Math" w:cs="Cambria Math"/>
          <w:sz w:val="29"/>
          <w:szCs w:val="29"/>
        </w:rPr>
        <w:t>∘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 xml:space="preserve"> konveksen.</w:t>
      </w:r>
    </w:p>
    <w:p w:rsidR="0031530A" w:rsidRDefault="0031530A" w:rsidP="0031530A">
      <w:pPr>
        <w:pStyle w:val="NormalWeb"/>
      </w:pPr>
      <w:proofErr w:type="spellStart"/>
      <w:r>
        <w:t>3.b</w:t>
      </w:r>
      <w:proofErr w:type="spellEnd"/>
      <w:r>
        <w:t xml:space="preserve">) Če je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k</w:t>
      </w:r>
      <w:r>
        <w:t xml:space="preserve"> konveksna in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 </w:t>
      </w:r>
      <w:r>
        <w:rPr>
          <w:rStyle w:val="mi"/>
          <w:rFonts w:ascii="MathJax_Caligraphic" w:hAnsi="MathJax_Caligraphic"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))→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 xml:space="preserve"> nepadajoča konveksna, je </w:t>
      </w:r>
      <w:proofErr w:type="spellStart"/>
      <w:r>
        <w:t>kompozitum</w:t>
      </w:r>
      <w:proofErr w:type="spellEnd"/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Cambria Math" w:hAnsi="Cambria Math" w:cs="Cambria Math"/>
          <w:sz w:val="29"/>
          <w:szCs w:val="29"/>
        </w:rPr>
        <w:t>∘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 xml:space="preserve"> konveksen.</w:t>
      </w:r>
    </w:p>
    <w:p w:rsidR="0031530A" w:rsidRDefault="0031530A" w:rsidP="0031530A">
      <w:pPr>
        <w:pStyle w:val="NormalWeb"/>
      </w:pPr>
      <w:r>
        <w:t>Dokazali smo naslednjo karakterizacijo konveksnih funkcij s pomočjo prvih odvodov:</w:t>
      </w:r>
      <w:r>
        <w:br/>
      </w:r>
      <w:r>
        <w:br/>
      </w:r>
      <w:r>
        <w:rPr>
          <w:i/>
          <w:iCs/>
        </w:rPr>
        <w:t xml:space="preserve">Naj bo 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Emphasis"/>
        </w:rPr>
        <w:t xml:space="preserve"> odprta konveksna množica v </w:t>
      </w:r>
      <w:proofErr w:type="spellStart"/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rPr>
          <w:rStyle w:val="Emphasis"/>
        </w:rP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Emphasis"/>
        </w:rPr>
        <w:t xml:space="preserve"> zvezno odvedljiva na 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Emphasis"/>
        </w:rPr>
        <w:t xml:space="preserve">. Potem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Emphasis"/>
        </w:rPr>
        <w:t xml:space="preserve"> konveksna na 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Emphasis"/>
        </w:rPr>
        <w:t xml:space="preserve"> natanko tedaj, ko za vse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Emphasis"/>
        </w:rPr>
        <w:t xml:space="preserve"> velja: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)≥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)+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−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Cambria Math" w:hAnsi="Cambria Math" w:cs="Cambria Math"/>
          <w:sz w:val="29"/>
          <w:szCs w:val="29"/>
        </w:rPr>
        <w:t>∇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Emphasis"/>
        </w:rPr>
        <w:t>.</w:t>
      </w:r>
    </w:p>
    <w:p w:rsidR="0031530A" w:rsidRDefault="0031530A" w:rsidP="0031530A">
      <w:pPr>
        <w:pStyle w:val="NormalWeb"/>
      </w:pPr>
      <w:r>
        <w:t xml:space="preserve">Geometrijsko: graf konveksne funkcije leži nad tangentno </w:t>
      </w:r>
      <w:proofErr w:type="spellStart"/>
      <w:r>
        <w:t>hiperravnino</w:t>
      </w:r>
      <w:proofErr w:type="spellEnd"/>
      <w:r>
        <w:t>.</w:t>
      </w:r>
      <w:r>
        <w:br/>
      </w:r>
      <w:r>
        <w:br/>
        <w:t>Navedli smo tudi karakterizacijo konveksnih funkcij s pomočjo drugih odvodov:</w:t>
      </w:r>
      <w:r>
        <w:br/>
      </w:r>
      <w:r>
        <w:br/>
      </w:r>
      <w:r>
        <w:rPr>
          <w:i/>
          <w:iCs/>
        </w:rPr>
        <w:t>Naj bo 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i/>
          <w:iCs/>
        </w:rPr>
        <w:t xml:space="preserve"> odprta konveksna množica v </w:t>
      </w:r>
      <w:proofErr w:type="spellStart"/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rPr>
          <w:i/>
          <w:iCs/>
        </w:rP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i/>
          <w:iCs/>
        </w:rPr>
        <w:t xml:space="preserve"> dvakrat zvezno odvedljiva na 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i/>
          <w:iCs/>
        </w:rPr>
        <w:t xml:space="preserve">. Potem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i/>
          <w:iCs/>
        </w:rPr>
        <w:t xml:space="preserve"> konveksna na 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i/>
          <w:iCs/>
        </w:rPr>
        <w:t xml:space="preserve"> natanko tedaj, ko je Hessejeva matrika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H</w:t>
      </w:r>
      <w:r>
        <w:rPr>
          <w:rStyle w:val="mi"/>
          <w:rFonts w:ascii="MathJax_Math" w:hAnsi="MathJax_Math"/>
          <w:i/>
          <w:iCs/>
          <w:sz w:val="20"/>
          <w:szCs w:val="20"/>
        </w:rPr>
        <w:t>f</w:t>
      </w:r>
      <w:proofErr w:type="spellEnd"/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</w:t>
      </w:r>
      <w:r>
        <w:rPr>
          <w:rStyle w:val="Emphasis"/>
        </w:rPr>
        <w:t xml:space="preserve">pozitivno </w:t>
      </w:r>
      <w:proofErr w:type="spellStart"/>
      <w:r>
        <w:rPr>
          <w:rStyle w:val="Emphasis"/>
        </w:rPr>
        <w:t>semidefinitna</w:t>
      </w:r>
      <w:proofErr w:type="spellEnd"/>
      <w:r>
        <w:rPr>
          <w:rStyle w:val="Emphasis"/>
        </w:rPr>
        <w:t xml:space="preserve"> za vse</w:t>
      </w:r>
      <w:r>
        <w:rPr>
          <w:i/>
          <w:iCs/>
        </w:rP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t>.</w:t>
      </w:r>
    </w:p>
    <w:p w:rsidR="0031530A" w:rsidRDefault="0031530A" w:rsidP="0031530A">
      <w:pPr>
        <w:pStyle w:val="NormalWeb"/>
      </w:pPr>
      <w:r>
        <w:t xml:space="preserve">Ogledali smo si splošno kvadratno funkcijo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i/>
          <w:iCs/>
        </w:rPr>
        <w:t xml:space="preserve"> </w:t>
      </w:r>
      <w:r>
        <w:t xml:space="preserve">spremenljivk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Ax</w:t>
      </w:r>
      <w:proofErr w:type="spellEnd"/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i/>
          <w:iCs/>
        </w:rPr>
        <w:t xml:space="preserve">, </w:t>
      </w:r>
      <w:r>
        <w:t xml:space="preserve">kjer je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t xml:space="preserve"> simetrična realna matrika velikosti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×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i/>
          <w:iCs/>
        </w:rP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t xml:space="preserve"> realen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i/>
          <w:iCs/>
        </w:rPr>
        <w:t>-</w:t>
      </w:r>
      <w:r>
        <w:t xml:space="preserve">razsežen vektor in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realno število. </w:t>
      </w:r>
      <w:r>
        <w:lastRenderedPageBreak/>
        <w:t xml:space="preserve">Pokazali smo, da je kvadratna funkcija konveksna natanko tedaj, ko je matrika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i/>
          <w:iCs/>
        </w:rPr>
        <w:t xml:space="preserve"> </w:t>
      </w:r>
      <w:r>
        <w:t xml:space="preserve">pozitivno </w:t>
      </w:r>
      <w:proofErr w:type="spellStart"/>
      <w:r>
        <w:t>semidefinitna</w:t>
      </w:r>
      <w:proofErr w:type="spellEnd"/>
      <w:r>
        <w:t>.</w:t>
      </w:r>
      <w:r>
        <w:rPr>
          <w:i/>
          <w:iCs/>
        </w:rPr>
        <w:t xml:space="preserve"> </w:t>
      </w:r>
    </w:p>
    <w:p w:rsidR="0031530A" w:rsidRDefault="0031530A" w:rsidP="0031530A">
      <w:pPr>
        <w:pStyle w:val="NormalWeb"/>
      </w:pPr>
      <w:r>
        <w:t>Po definiciji in pregledu nekaterih lastnosti konveksnih množic in konveksnih funkcij smo se vrnili k pojmu konveksne optimizacijske naloge. Pokazali smo, da je vsak linearen program konveksna optimizacijska naloga.</w:t>
      </w:r>
    </w:p>
    <w:p w:rsidR="0031530A" w:rsidRDefault="0031530A" w:rsidP="0031530A">
      <w:pPr>
        <w:pStyle w:val="NormalWeb"/>
      </w:pPr>
      <w:r>
        <w:rPr>
          <w:rStyle w:val="Emphasis"/>
          <w:b/>
          <w:bCs/>
        </w:rPr>
        <w:t>Definicija</w:t>
      </w:r>
      <w:r>
        <w:rPr>
          <w:b/>
          <w:bCs/>
        </w:rPr>
        <w:t xml:space="preserve">. </w:t>
      </w:r>
      <w:r>
        <w:t xml:space="preserve">Naj bo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o"/>
          <w:rFonts w:ascii="Cambria Math" w:hAnsi="Cambria Math" w:cs="Cambria Math"/>
          <w:sz w:val="29"/>
          <w:szCs w:val="29"/>
        </w:rPr>
        <w:t>⊆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>. </w:t>
      </w:r>
      <w:r>
        <w:rPr>
          <w:b/>
          <w:bCs/>
        </w:rPr>
        <w:t xml:space="preserve"> </w:t>
      </w:r>
    </w:p>
    <w:p w:rsidR="0031530A" w:rsidRDefault="0031530A" w:rsidP="0031530A">
      <w:pPr>
        <w:pStyle w:val="NormalWeb"/>
      </w:pPr>
      <w:r>
        <w:t xml:space="preserve">Točka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 xml:space="preserve"> je </w:t>
      </w:r>
      <w:r>
        <w:rPr>
          <w:rStyle w:val="Emphasis"/>
        </w:rPr>
        <w:t>(globalni) minimum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na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 xml:space="preserve">, če </w:t>
      </w:r>
      <w:r>
        <w:rPr>
          <w:rStyle w:val="mi"/>
          <w:rFonts w:ascii="Cambria Math" w:hAnsi="Cambria Math" w:cs="Cambria Math"/>
          <w:sz w:val="29"/>
          <w:szCs w:val="29"/>
        </w:rPr>
        <w:t>∀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)≤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.</w:t>
      </w:r>
    </w:p>
    <w:p w:rsidR="0031530A" w:rsidRDefault="0031530A" w:rsidP="0031530A">
      <w:pPr>
        <w:pStyle w:val="NormalWeb"/>
      </w:pPr>
      <w:r>
        <w:t xml:space="preserve">Točka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 xml:space="preserve"> je </w:t>
      </w:r>
      <w:r>
        <w:rPr>
          <w:rStyle w:val="Emphasis"/>
        </w:rPr>
        <w:t>lokalni minimum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na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 xml:space="preserve">, če </w:t>
      </w:r>
      <w:r>
        <w:rPr>
          <w:rStyle w:val="mi"/>
          <w:rFonts w:ascii="Cambria Math" w:hAnsi="Cambria Math" w:cs="Cambria Math"/>
          <w:sz w:val="29"/>
          <w:szCs w:val="29"/>
        </w:rPr>
        <w:t>∃</w:t>
      </w:r>
      <w:r>
        <w:rPr>
          <w:rStyle w:val="mi"/>
          <w:rFonts w:ascii="MathJax_Math" w:hAnsi="MathJax_Math"/>
          <w:i/>
          <w:iCs/>
          <w:sz w:val="29"/>
          <w:szCs w:val="29"/>
        </w:rPr>
        <w:t>ε</w:t>
      </w:r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Cambria Math" w:hAnsi="Cambria Math" w:cs="Cambria Math"/>
          <w:sz w:val="29"/>
          <w:szCs w:val="29"/>
        </w:rPr>
        <w:t>∀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o"/>
          <w:rFonts w:ascii="MathJax_Main" w:hAnsi="MathJax_Main"/>
          <w:sz w:val="29"/>
          <w:szCs w:val="29"/>
        </w:rPr>
        <w:t>(||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−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||&lt;</w:t>
      </w:r>
      <w:r>
        <w:rPr>
          <w:rStyle w:val="mi"/>
          <w:rFonts w:ascii="MathJax_Math" w:hAnsi="MathJax_Math"/>
          <w:i/>
          <w:iCs/>
          <w:sz w:val="29"/>
          <w:szCs w:val="29"/>
        </w:rPr>
        <w:t>ε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o"/>
          <w:rFonts w:ascii="Cambria Math" w:hAnsi="Cambria Math" w:cs="Cambria Math"/>
          <w:sz w:val="29"/>
          <w:szCs w:val="29"/>
        </w:rPr>
        <w:t>⇒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)≤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MathJax_Main" w:hAnsi="MathJax_Main"/>
          <w:sz w:val="29"/>
          <w:szCs w:val="29"/>
        </w:rPr>
        <w:t>))</w:t>
      </w:r>
      <w:r>
        <w:t>.</w:t>
      </w:r>
    </w:p>
    <w:p w:rsidR="0031530A" w:rsidRDefault="0031530A" w:rsidP="0031530A">
      <w:pPr>
        <w:pStyle w:val="NormalWeb"/>
      </w:pPr>
      <w:r>
        <w:t xml:space="preserve">Dokazali smo </w:t>
      </w:r>
      <w:r>
        <w:rPr>
          <w:b/>
          <w:bCs/>
          <w:i/>
          <w:iCs/>
        </w:rPr>
        <w:t>izrek o lokalni minimizaciji konveksne funkcije</w:t>
      </w:r>
      <w:r>
        <w:t xml:space="preserve">: </w:t>
      </w:r>
      <w:r>
        <w:rPr>
          <w:i/>
          <w:iCs/>
        </w:rPr>
        <w:br/>
        <w:t xml:space="preserve">Naj bo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i/>
          <w:iCs/>
        </w:rPr>
        <w:t xml:space="preserve"> konveksna množica v </w:t>
      </w:r>
      <w:proofErr w:type="spellStart"/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rPr>
          <w:i/>
          <w:iCs/>
        </w:rPr>
        <w:t xml:space="preserve"> in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i/>
          <w:iCs/>
        </w:rPr>
        <w:t xml:space="preserve"> konveksna funkcija. Potem je vsak lokalni minimum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i/>
          <w:iCs/>
        </w:rPr>
        <w:t xml:space="preserve"> na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i/>
          <w:iCs/>
        </w:rPr>
        <w:t xml:space="preserve"> tudi globalni.</w:t>
      </w:r>
    </w:p>
    <w:p w:rsidR="00CB5B30" w:rsidRDefault="0031530A" w:rsidP="0031530A">
      <w:pPr>
        <w:pStyle w:val="NormalWeb"/>
      </w:pPr>
      <w:r>
        <w:t>Gornji izrek kaže na pomembnost konveksnosti pri optimizaciji, saj je v splošnem lokalne ekstreme precej laže poiskati kot pa globalne ekstreme.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AM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MathJax_Caligrap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34"/>
    <w:rsid w:val="00270737"/>
    <w:rsid w:val="0031530A"/>
    <w:rsid w:val="004E2434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3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3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31530A"/>
    <w:rPr>
      <w:i/>
      <w:iCs/>
    </w:rPr>
  </w:style>
  <w:style w:type="character" w:customStyle="1" w:styleId="mo">
    <w:name w:val="mo"/>
    <w:basedOn w:val="DefaultParagraphFont"/>
    <w:rsid w:val="0031530A"/>
  </w:style>
  <w:style w:type="character" w:customStyle="1" w:styleId="mi">
    <w:name w:val="mi"/>
    <w:basedOn w:val="DefaultParagraphFont"/>
    <w:rsid w:val="0031530A"/>
  </w:style>
  <w:style w:type="character" w:styleId="Strong">
    <w:name w:val="Strong"/>
    <w:basedOn w:val="DefaultParagraphFont"/>
    <w:uiPriority w:val="22"/>
    <w:qFormat/>
    <w:rsid w:val="0031530A"/>
    <w:rPr>
      <w:b/>
      <w:bCs/>
    </w:rPr>
  </w:style>
  <w:style w:type="character" w:customStyle="1" w:styleId="mn">
    <w:name w:val="mn"/>
    <w:basedOn w:val="DefaultParagraphFont"/>
    <w:rsid w:val="0031530A"/>
  </w:style>
  <w:style w:type="character" w:customStyle="1" w:styleId="mtext">
    <w:name w:val="mtext"/>
    <w:basedOn w:val="DefaultParagraphFont"/>
    <w:rsid w:val="0031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30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3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31530A"/>
    <w:rPr>
      <w:i/>
      <w:iCs/>
    </w:rPr>
  </w:style>
  <w:style w:type="character" w:customStyle="1" w:styleId="mo">
    <w:name w:val="mo"/>
    <w:basedOn w:val="DefaultParagraphFont"/>
    <w:rsid w:val="0031530A"/>
  </w:style>
  <w:style w:type="character" w:customStyle="1" w:styleId="mi">
    <w:name w:val="mi"/>
    <w:basedOn w:val="DefaultParagraphFont"/>
    <w:rsid w:val="0031530A"/>
  </w:style>
  <w:style w:type="character" w:styleId="Strong">
    <w:name w:val="Strong"/>
    <w:basedOn w:val="DefaultParagraphFont"/>
    <w:uiPriority w:val="22"/>
    <w:qFormat/>
    <w:rsid w:val="0031530A"/>
    <w:rPr>
      <w:b/>
      <w:bCs/>
    </w:rPr>
  </w:style>
  <w:style w:type="character" w:customStyle="1" w:styleId="mn">
    <w:name w:val="mn"/>
    <w:basedOn w:val="DefaultParagraphFont"/>
    <w:rsid w:val="0031530A"/>
  </w:style>
  <w:style w:type="character" w:customStyle="1" w:styleId="mtext">
    <w:name w:val="mtext"/>
    <w:basedOn w:val="DefaultParagraphFont"/>
    <w:rsid w:val="0031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2014-06-24T06:31:00Z</dcterms:created>
  <dcterms:modified xsi:type="dcterms:W3CDTF">2014-06-24T06:32:00Z</dcterms:modified>
</cp:coreProperties>
</file>