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EE" w:rsidRPr="005912F2" w:rsidRDefault="00AD05EE" w:rsidP="00AD05EE">
      <w:pPr>
        <w:pStyle w:val="Title"/>
        <w:pBdr>
          <w:top w:val="single" w:sz="6" w:space="1" w:color="auto"/>
          <w:left w:val="single" w:sz="6" w:space="1" w:color="auto"/>
          <w:bottom w:val="single" w:sz="6" w:space="5" w:color="auto"/>
          <w:right w:val="single" w:sz="6" w:space="1" w:color="auto"/>
        </w:pBdr>
        <w:shd w:val="pct20" w:color="auto" w:fill="FFFFFF"/>
        <w:spacing w:line="24" w:lineRule="atLeast"/>
        <w:rPr>
          <w:sz w:val="24"/>
          <w:szCs w:val="24"/>
        </w:rPr>
      </w:pPr>
      <w:r>
        <w:rPr>
          <w:noProof/>
          <w:sz w:val="24"/>
          <w:szCs w:val="24"/>
          <w:lang w:eastAsia="sl-SI"/>
        </w:rPr>
        <w:drawing>
          <wp:anchor distT="0" distB="0" distL="114300" distR="114300" simplePos="0" relativeHeight="251660288" behindDoc="0" locked="0" layoutInCell="1" allowOverlap="1">
            <wp:simplePos x="0" y="0"/>
            <wp:positionH relativeFrom="column">
              <wp:posOffset>5939155</wp:posOffset>
            </wp:positionH>
            <wp:positionV relativeFrom="paragraph">
              <wp:posOffset>-128270</wp:posOffset>
            </wp:positionV>
            <wp:extent cx="638175" cy="447675"/>
            <wp:effectExtent l="19050" t="0" r="9525" b="0"/>
            <wp:wrapSquare wrapText="bothSides"/>
            <wp:docPr id="9" name="Picture 3" descr="EF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MD"/>
                    <pic:cNvPicPr>
                      <a:picLocks noChangeAspect="1" noChangeArrowheads="1"/>
                    </pic:cNvPicPr>
                  </pic:nvPicPr>
                  <pic:blipFill>
                    <a:blip r:embed="rId9" cstate="print"/>
                    <a:srcRect/>
                    <a:stretch>
                      <a:fillRect/>
                    </a:stretch>
                  </pic:blipFill>
                  <pic:spPr bwMode="auto">
                    <a:xfrm>
                      <a:off x="0" y="0"/>
                      <a:ext cx="638175" cy="447675"/>
                    </a:xfrm>
                    <a:prstGeom prst="rect">
                      <a:avLst/>
                    </a:prstGeom>
                    <a:noFill/>
                    <a:ln w="9525">
                      <a:noFill/>
                      <a:miter lim="800000"/>
                      <a:headEnd/>
                      <a:tailEnd/>
                    </a:ln>
                  </pic:spPr>
                </pic:pic>
              </a:graphicData>
            </a:graphic>
          </wp:anchor>
        </w:drawing>
      </w:r>
      <w:r w:rsidRPr="005912F2">
        <w:rPr>
          <w:sz w:val="24"/>
          <w:szCs w:val="24"/>
        </w:rPr>
        <w:t>Univerza v Ljubljani –  Ekonomska fakulteta</w:t>
      </w:r>
    </w:p>
    <w:p w:rsidR="00AD05EE" w:rsidRPr="005912F2" w:rsidRDefault="00AD05EE" w:rsidP="00AD05EE">
      <w:pPr>
        <w:pStyle w:val="Title"/>
        <w:pBdr>
          <w:top w:val="single" w:sz="6" w:space="1" w:color="auto"/>
          <w:left w:val="single" w:sz="6" w:space="1" w:color="auto"/>
          <w:bottom w:val="single" w:sz="6" w:space="5" w:color="auto"/>
          <w:right w:val="single" w:sz="6" w:space="1" w:color="auto"/>
        </w:pBdr>
        <w:shd w:val="pct20" w:color="auto" w:fill="FFFFFF"/>
        <w:spacing w:line="24" w:lineRule="atLeast"/>
        <w:rPr>
          <w:sz w:val="24"/>
          <w:szCs w:val="24"/>
        </w:rPr>
      </w:pPr>
      <w:r w:rsidRPr="005912F2">
        <w:rPr>
          <w:sz w:val="24"/>
          <w:szCs w:val="24"/>
        </w:rPr>
        <w:t xml:space="preserve">Dodiplomski študij –   UPEŠ </w:t>
      </w:r>
    </w:p>
    <w:p w:rsidR="00AD05EE" w:rsidRPr="005912F2" w:rsidRDefault="00AD05EE" w:rsidP="00AD05EE">
      <w:pPr>
        <w:pStyle w:val="Title"/>
        <w:pBdr>
          <w:top w:val="single" w:sz="6" w:space="1" w:color="auto"/>
          <w:left w:val="single" w:sz="6" w:space="1" w:color="auto"/>
          <w:bottom w:val="single" w:sz="6" w:space="5" w:color="auto"/>
          <w:right w:val="single" w:sz="6" w:space="1" w:color="auto"/>
        </w:pBdr>
        <w:shd w:val="pct20" w:color="auto" w:fill="FFFFFF"/>
        <w:spacing w:line="24" w:lineRule="atLeast"/>
        <w:rPr>
          <w:sz w:val="24"/>
          <w:szCs w:val="24"/>
        </w:rPr>
      </w:pPr>
      <w:r w:rsidRPr="005912F2">
        <w:rPr>
          <w:sz w:val="24"/>
          <w:szCs w:val="24"/>
        </w:rPr>
        <w:t xml:space="preserve">Predmet: </w:t>
      </w:r>
      <w:r>
        <w:rPr>
          <w:sz w:val="24"/>
          <w:szCs w:val="24"/>
        </w:rPr>
        <w:t>Finančna analiza 1</w:t>
      </w:r>
    </w:p>
    <w:p w:rsidR="00AD05EE" w:rsidRPr="005912F2" w:rsidRDefault="00AD05EE" w:rsidP="00AD05EE">
      <w:pPr>
        <w:pStyle w:val="Title"/>
        <w:pBdr>
          <w:top w:val="single" w:sz="6" w:space="1" w:color="auto"/>
          <w:left w:val="single" w:sz="6" w:space="1" w:color="auto"/>
          <w:bottom w:val="single" w:sz="6" w:space="5" w:color="auto"/>
          <w:right w:val="single" w:sz="6" w:space="1" w:color="auto"/>
        </w:pBdr>
        <w:shd w:val="pct20" w:color="auto" w:fill="FFFFFF"/>
        <w:spacing w:line="24" w:lineRule="atLeast"/>
        <w:rPr>
          <w:sz w:val="24"/>
          <w:szCs w:val="24"/>
        </w:rPr>
      </w:pPr>
      <w:r>
        <w:rPr>
          <w:noProof/>
          <w:sz w:val="24"/>
          <w:szCs w:val="24"/>
          <w:lang w:eastAsia="sl-SI"/>
        </w:rPr>
        <w:drawing>
          <wp:anchor distT="0" distB="0" distL="114300" distR="114300" simplePos="0" relativeHeight="251659264" behindDoc="0" locked="1" layoutInCell="1" allowOverlap="1">
            <wp:simplePos x="0" y="0"/>
            <wp:positionH relativeFrom="page">
              <wp:posOffset>5353050</wp:posOffset>
            </wp:positionH>
            <wp:positionV relativeFrom="page">
              <wp:posOffset>933450</wp:posOffset>
            </wp:positionV>
            <wp:extent cx="1238250" cy="990600"/>
            <wp:effectExtent l="19050" t="0" r="0" b="0"/>
            <wp:wrapNone/>
            <wp:docPr id="11" name="Picture 11" descr="EF 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 Slo"/>
                    <pic:cNvPicPr>
                      <a:picLocks noChangeAspect="1" noChangeArrowheads="1"/>
                    </pic:cNvPicPr>
                  </pic:nvPicPr>
                  <pic:blipFill>
                    <a:blip r:embed="rId10" cstate="print"/>
                    <a:srcRect b="50346"/>
                    <a:stretch>
                      <a:fillRect/>
                    </a:stretch>
                  </pic:blipFill>
                  <pic:spPr bwMode="auto">
                    <a:xfrm>
                      <a:off x="0" y="0"/>
                      <a:ext cx="1238250" cy="990600"/>
                    </a:xfrm>
                    <a:prstGeom prst="rect">
                      <a:avLst/>
                    </a:prstGeom>
                    <a:noFill/>
                    <a:ln w="9525">
                      <a:noFill/>
                      <a:miter lim="800000"/>
                      <a:headEnd/>
                      <a:tailEnd/>
                    </a:ln>
                  </pic:spPr>
                </pic:pic>
              </a:graphicData>
            </a:graphic>
          </wp:anchor>
        </w:drawing>
      </w:r>
      <w:r w:rsidRPr="005912F2">
        <w:rPr>
          <w:sz w:val="24"/>
          <w:szCs w:val="24"/>
        </w:rPr>
        <w:t xml:space="preserve">Nosilec predmeta: </w:t>
      </w:r>
      <w:r>
        <w:rPr>
          <w:sz w:val="24"/>
          <w:szCs w:val="24"/>
        </w:rPr>
        <w:t>prof. dr. Sergeja Slapničar</w:t>
      </w:r>
    </w:p>
    <w:p w:rsidR="00AD05EE" w:rsidRPr="005912F2" w:rsidRDefault="00AD05EE" w:rsidP="00AD05EE">
      <w:pPr>
        <w:pStyle w:val="Title"/>
        <w:pBdr>
          <w:top w:val="single" w:sz="6" w:space="1" w:color="auto"/>
          <w:left w:val="single" w:sz="6" w:space="1" w:color="auto"/>
          <w:bottom w:val="single" w:sz="6" w:space="5" w:color="auto"/>
          <w:right w:val="single" w:sz="6" w:space="1" w:color="auto"/>
        </w:pBdr>
        <w:shd w:val="pct20" w:color="auto" w:fill="FFFFFF"/>
        <w:spacing w:line="24" w:lineRule="atLeast"/>
        <w:rPr>
          <w:sz w:val="24"/>
          <w:szCs w:val="24"/>
        </w:rPr>
      </w:pPr>
      <w:r>
        <w:rPr>
          <w:sz w:val="24"/>
          <w:szCs w:val="24"/>
        </w:rPr>
        <w:t>Študijsko leto: 2011/2012</w:t>
      </w:r>
    </w:p>
    <w:p w:rsidR="00AD05EE" w:rsidRPr="005912F2" w:rsidRDefault="00AD05EE" w:rsidP="00AD05EE">
      <w:pPr>
        <w:spacing w:line="24" w:lineRule="atLeast"/>
        <w:rPr>
          <w:rFonts w:ascii="Times New Roman" w:hAnsi="Times New Roman"/>
          <w:b/>
          <w:sz w:val="24"/>
          <w:szCs w:val="24"/>
        </w:rPr>
      </w:pPr>
    </w:p>
    <w:p w:rsidR="00AD05EE" w:rsidRPr="005912F2" w:rsidRDefault="00AD05EE" w:rsidP="00AD05EE">
      <w:pPr>
        <w:spacing w:line="24" w:lineRule="atLeast"/>
        <w:rPr>
          <w:rFonts w:ascii="Times New Roman" w:hAnsi="Times New Roman"/>
          <w:b/>
          <w:sz w:val="24"/>
          <w:szCs w:val="24"/>
        </w:rPr>
      </w:pPr>
    </w:p>
    <w:p w:rsidR="00AD05EE" w:rsidRPr="005912F2" w:rsidRDefault="00AD05EE" w:rsidP="00AD05EE">
      <w:pPr>
        <w:spacing w:line="24" w:lineRule="atLeast"/>
        <w:rPr>
          <w:rFonts w:ascii="Times New Roman" w:hAnsi="Times New Roman"/>
          <w:b/>
          <w:sz w:val="24"/>
          <w:szCs w:val="24"/>
        </w:rPr>
      </w:pPr>
    </w:p>
    <w:p w:rsidR="00AD05EE" w:rsidRPr="005912F2" w:rsidRDefault="00AD05EE" w:rsidP="00AD05EE">
      <w:pPr>
        <w:spacing w:line="24" w:lineRule="atLeast"/>
        <w:rPr>
          <w:rFonts w:ascii="Times New Roman" w:hAnsi="Times New Roman"/>
          <w:b/>
          <w:sz w:val="24"/>
          <w:szCs w:val="24"/>
        </w:rPr>
      </w:pPr>
    </w:p>
    <w:p w:rsidR="00AD05EE" w:rsidRPr="005912F2" w:rsidRDefault="00AD05EE" w:rsidP="00AD05EE">
      <w:pPr>
        <w:spacing w:line="24" w:lineRule="atLeast"/>
        <w:rPr>
          <w:rFonts w:ascii="Times New Roman" w:hAnsi="Times New Roman"/>
          <w:b/>
          <w:sz w:val="24"/>
          <w:szCs w:val="24"/>
        </w:rPr>
      </w:pPr>
    </w:p>
    <w:p w:rsidR="00AD05EE" w:rsidRPr="005912F2" w:rsidRDefault="00AD05EE" w:rsidP="00AD05EE">
      <w:pPr>
        <w:spacing w:line="24" w:lineRule="atLeast"/>
        <w:rPr>
          <w:rFonts w:ascii="Times New Roman" w:hAnsi="Times New Roman"/>
          <w:b/>
          <w:sz w:val="24"/>
          <w:szCs w:val="24"/>
        </w:rPr>
      </w:pPr>
    </w:p>
    <w:p w:rsidR="00AD05EE" w:rsidRPr="005912F2" w:rsidRDefault="000A4359" w:rsidP="00AD05EE">
      <w:pPr>
        <w:spacing w:line="24" w:lineRule="atLeast"/>
        <w:jc w:val="center"/>
        <w:rPr>
          <w:rFonts w:ascii="Times New Roman" w:hAnsi="Times New Roman"/>
          <w:b/>
          <w:sz w:val="36"/>
          <w:szCs w:val="36"/>
        </w:rPr>
      </w:pPr>
      <w:r>
        <w:rPr>
          <w:rFonts w:ascii="Times New Roman" w:hAnsi="Times New Roman"/>
          <w:b/>
          <w:sz w:val="36"/>
          <w:szCs w:val="36"/>
        </w:rPr>
        <w:t>2</w:t>
      </w:r>
      <w:r w:rsidR="00AD05EE">
        <w:rPr>
          <w:rFonts w:ascii="Times New Roman" w:hAnsi="Times New Roman"/>
          <w:b/>
          <w:sz w:val="36"/>
          <w:szCs w:val="36"/>
        </w:rPr>
        <w:t>. s</w:t>
      </w:r>
      <w:r w:rsidR="00AD05EE" w:rsidRPr="005912F2">
        <w:rPr>
          <w:rFonts w:ascii="Times New Roman" w:hAnsi="Times New Roman"/>
          <w:b/>
          <w:sz w:val="36"/>
          <w:szCs w:val="36"/>
        </w:rPr>
        <w:t xml:space="preserve">eminarska naloga pri predmetu </w:t>
      </w:r>
      <w:r w:rsidR="00AD05EE">
        <w:rPr>
          <w:rFonts w:ascii="Times New Roman" w:hAnsi="Times New Roman"/>
          <w:b/>
          <w:sz w:val="36"/>
          <w:szCs w:val="36"/>
        </w:rPr>
        <w:t>Finančna analiza 1</w:t>
      </w:r>
    </w:p>
    <w:p w:rsidR="00AD05EE" w:rsidRDefault="00AD05EE" w:rsidP="00AD05EE">
      <w:pPr>
        <w:spacing w:line="24" w:lineRule="atLeast"/>
        <w:jc w:val="center"/>
        <w:rPr>
          <w:rFonts w:ascii="Times New Roman" w:hAnsi="Times New Roman"/>
          <w:b/>
          <w:color w:val="1F497D" w:themeColor="text2"/>
          <w:sz w:val="56"/>
          <w:szCs w:val="56"/>
        </w:rPr>
      </w:pPr>
      <w:r>
        <w:rPr>
          <w:rFonts w:ascii="Times New Roman" w:hAnsi="Times New Roman"/>
          <w:b/>
          <w:color w:val="1F497D" w:themeColor="text2"/>
          <w:sz w:val="56"/>
          <w:szCs w:val="56"/>
        </w:rPr>
        <w:t xml:space="preserve">Vrednotenje podjetja </w:t>
      </w:r>
      <w:r w:rsidRPr="00FD2B9F">
        <w:rPr>
          <w:rFonts w:ascii="Times New Roman" w:hAnsi="Times New Roman"/>
          <w:b/>
          <w:color w:val="1F497D" w:themeColor="text2"/>
          <w:sz w:val="56"/>
          <w:szCs w:val="56"/>
        </w:rPr>
        <w:t xml:space="preserve">Adria </w:t>
      </w:r>
      <w:proofErr w:type="spellStart"/>
      <w:r w:rsidRPr="00FD2B9F">
        <w:rPr>
          <w:rFonts w:ascii="Times New Roman" w:hAnsi="Times New Roman"/>
          <w:b/>
          <w:color w:val="1F497D" w:themeColor="text2"/>
          <w:sz w:val="56"/>
          <w:szCs w:val="56"/>
        </w:rPr>
        <w:t>Mobil</w:t>
      </w:r>
      <w:proofErr w:type="spellEnd"/>
    </w:p>
    <w:p w:rsidR="00AD05EE" w:rsidRPr="005912F2" w:rsidRDefault="00AD05EE" w:rsidP="00AD05EE">
      <w:pPr>
        <w:spacing w:line="24" w:lineRule="atLeast"/>
        <w:jc w:val="center"/>
        <w:rPr>
          <w:rFonts w:ascii="Times New Roman" w:hAnsi="Times New Roman"/>
          <w:b/>
          <w:color w:val="FF0000"/>
          <w:sz w:val="24"/>
          <w:szCs w:val="24"/>
        </w:rPr>
      </w:pPr>
    </w:p>
    <w:p w:rsidR="00AD05EE" w:rsidRPr="005912F2" w:rsidRDefault="00AD05EE" w:rsidP="00AD05EE">
      <w:pPr>
        <w:spacing w:line="24" w:lineRule="atLeast"/>
        <w:jc w:val="center"/>
        <w:rPr>
          <w:rFonts w:ascii="Times New Roman" w:hAnsi="Times New Roman"/>
          <w:b/>
          <w:color w:val="FF0000"/>
          <w:sz w:val="24"/>
          <w:szCs w:val="24"/>
        </w:rPr>
      </w:pPr>
    </w:p>
    <w:p w:rsidR="00AD05EE" w:rsidRPr="005912F2" w:rsidRDefault="00AD05EE" w:rsidP="00AD05EE">
      <w:pPr>
        <w:spacing w:line="24" w:lineRule="atLeast"/>
        <w:rPr>
          <w:rFonts w:ascii="Times New Roman" w:hAnsi="Times New Roman"/>
          <w:sz w:val="24"/>
          <w:szCs w:val="24"/>
        </w:rPr>
      </w:pPr>
    </w:p>
    <w:p w:rsidR="00AD05EE" w:rsidRPr="005912F2" w:rsidRDefault="00AD05EE" w:rsidP="00AD05EE">
      <w:pPr>
        <w:spacing w:line="24" w:lineRule="atLeast"/>
        <w:rPr>
          <w:rFonts w:ascii="Times New Roman" w:hAnsi="Times New Roman"/>
          <w:sz w:val="24"/>
          <w:szCs w:val="24"/>
        </w:rPr>
      </w:pPr>
    </w:p>
    <w:p w:rsidR="00AD05EE" w:rsidRPr="005912F2" w:rsidRDefault="00AD05EE" w:rsidP="00AD05EE">
      <w:pPr>
        <w:spacing w:line="24" w:lineRule="atLeast"/>
        <w:rPr>
          <w:rFonts w:ascii="Times New Roman" w:hAnsi="Times New Roman"/>
          <w:sz w:val="24"/>
          <w:szCs w:val="24"/>
        </w:rPr>
      </w:pPr>
    </w:p>
    <w:p w:rsidR="00AD05EE" w:rsidRPr="005912F2" w:rsidRDefault="00AD05EE" w:rsidP="00AD05EE">
      <w:pPr>
        <w:spacing w:line="24" w:lineRule="atLeast"/>
        <w:rPr>
          <w:rFonts w:ascii="Times New Roman" w:hAnsi="Times New Roman"/>
          <w:sz w:val="24"/>
          <w:szCs w:val="24"/>
        </w:rPr>
      </w:pPr>
    </w:p>
    <w:p w:rsidR="00AD05EE" w:rsidRDefault="00AD05EE" w:rsidP="00AD05EE">
      <w:pPr>
        <w:spacing w:line="24" w:lineRule="atLeast"/>
        <w:rPr>
          <w:rFonts w:ascii="Times New Roman" w:hAnsi="Times New Roman"/>
          <w:sz w:val="24"/>
          <w:szCs w:val="24"/>
        </w:rPr>
      </w:pPr>
    </w:p>
    <w:p w:rsidR="00AD05EE" w:rsidRPr="005912F2" w:rsidRDefault="00AD05EE" w:rsidP="00AD05EE">
      <w:pPr>
        <w:spacing w:line="24" w:lineRule="atLeast"/>
        <w:rPr>
          <w:rFonts w:ascii="Times New Roman" w:hAnsi="Times New Roman"/>
          <w:sz w:val="24"/>
          <w:szCs w:val="24"/>
        </w:rPr>
      </w:pPr>
    </w:p>
    <w:p w:rsidR="00AD05EE" w:rsidRDefault="00AD05EE" w:rsidP="00AD05EE">
      <w:pPr>
        <w:spacing w:line="288" w:lineRule="auto"/>
        <w:ind w:left="2832" w:firstLine="708"/>
        <w:jc w:val="center"/>
        <w:rPr>
          <w:rFonts w:ascii="Times New Roman" w:hAnsi="Times New Roman"/>
          <w:b/>
          <w:sz w:val="24"/>
          <w:szCs w:val="24"/>
        </w:rPr>
      </w:pPr>
    </w:p>
    <w:p w:rsidR="00782D63" w:rsidRDefault="00782D63" w:rsidP="00AD05EE">
      <w:pPr>
        <w:spacing w:line="288" w:lineRule="auto"/>
        <w:ind w:left="2832" w:firstLine="708"/>
        <w:jc w:val="center"/>
        <w:rPr>
          <w:rFonts w:ascii="Times New Roman" w:hAnsi="Times New Roman"/>
          <w:b/>
          <w:sz w:val="24"/>
          <w:szCs w:val="24"/>
        </w:rPr>
      </w:pPr>
    </w:p>
    <w:p w:rsidR="00782D63" w:rsidRDefault="00782D63" w:rsidP="00AD05EE">
      <w:pPr>
        <w:spacing w:line="288" w:lineRule="auto"/>
        <w:ind w:left="2832" w:firstLine="708"/>
        <w:jc w:val="center"/>
        <w:rPr>
          <w:rFonts w:ascii="Times New Roman" w:hAnsi="Times New Roman"/>
          <w:b/>
          <w:sz w:val="24"/>
          <w:szCs w:val="24"/>
        </w:rPr>
      </w:pPr>
    </w:p>
    <w:p w:rsidR="00782D63" w:rsidRDefault="00782D63" w:rsidP="00AD05EE">
      <w:pPr>
        <w:spacing w:line="288" w:lineRule="auto"/>
        <w:ind w:left="2832" w:firstLine="708"/>
        <w:jc w:val="center"/>
        <w:rPr>
          <w:rFonts w:ascii="Times New Roman" w:hAnsi="Times New Roman"/>
          <w:b/>
          <w:sz w:val="24"/>
          <w:szCs w:val="24"/>
        </w:rPr>
      </w:pPr>
    </w:p>
    <w:p w:rsidR="00782D63" w:rsidRDefault="00782D63" w:rsidP="00AD05EE">
      <w:pPr>
        <w:spacing w:line="288" w:lineRule="auto"/>
        <w:ind w:left="2832" w:firstLine="708"/>
        <w:jc w:val="center"/>
        <w:rPr>
          <w:rFonts w:ascii="Times New Roman" w:hAnsi="Times New Roman"/>
          <w:b/>
          <w:sz w:val="24"/>
          <w:szCs w:val="24"/>
        </w:rPr>
      </w:pPr>
      <w:bookmarkStart w:id="0" w:name="_GoBack"/>
      <w:bookmarkEnd w:id="0"/>
    </w:p>
    <w:p w:rsidR="00AD05EE" w:rsidRDefault="00782D63" w:rsidP="00AD05EE">
      <w:pPr>
        <w:spacing w:line="288" w:lineRule="auto"/>
        <w:rPr>
          <w:rFonts w:ascii="Times New Roman" w:hAnsi="Times New Roman"/>
          <w:b/>
          <w:sz w:val="24"/>
          <w:szCs w:val="24"/>
        </w:rPr>
      </w:pPr>
      <w:r>
        <w:rPr>
          <w:rFonts w:ascii="Times New Roman" w:hAnsi="Times New Roman"/>
          <w:noProof/>
          <w:sz w:val="24"/>
          <w:szCs w:val="24"/>
          <w:lang w:eastAsia="sl-SI"/>
        </w:rPr>
        <w:pict>
          <v:shapetype id="_x0000_t202" coordsize="21600,21600" o:spt="202" path="m,l,21600r21600,l21600,xe">
            <v:stroke joinstyle="miter"/>
            <v:path gradientshapeok="t" o:connecttype="rect"/>
          </v:shapetype>
          <v:shape id="Text Box 4" o:spid="_x0000_s1026" type="#_x0000_t202" style="position:absolute;margin-left:12.7pt;margin-top:1.4pt;width:179.25pt;height:58.8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" strokecolor="white">
            <v:textbox style="mso-fit-shape-to-text:t">
              <w:txbxContent>
                <w:p w:rsidR="003E1F97" w:rsidRDefault="003E1F97" w:rsidP="00AD05EE">
                  <w:r>
                    <w:t>Ljubljana, 13. Junij 2012</w:t>
                  </w:r>
                </w:p>
              </w:txbxContent>
            </v:textbox>
          </v:shape>
        </w:pict>
      </w:r>
    </w:p>
    <w:p w:rsidR="007D67D1" w:rsidRDefault="007D67D1" w:rsidP="00AD05EE">
      <w:pPr>
        <w:spacing w:line="288" w:lineRule="auto"/>
        <w:rPr>
          <w:rFonts w:ascii="Times New Roman" w:hAnsi="Times New Roman"/>
          <w:b/>
          <w:sz w:val="24"/>
          <w:szCs w:val="24"/>
        </w:rPr>
      </w:pPr>
    </w:p>
    <w:p w:rsidR="00782D63" w:rsidRDefault="00782D63">
      <w:pPr>
        <w:rPr>
          <w:rFonts w:ascii="Times New Roman" w:hAnsi="Times New Roman"/>
          <w:b/>
          <w:sz w:val="24"/>
          <w:szCs w:val="24"/>
        </w:rPr>
      </w:pPr>
      <w:r>
        <w:rPr>
          <w:rFonts w:ascii="Times New Roman" w:hAnsi="Times New Roman"/>
          <w:b/>
          <w:sz w:val="24"/>
          <w:szCs w:val="24"/>
        </w:rPr>
        <w:br w:type="page"/>
      </w:r>
    </w:p>
    <w:sdt>
      <w:sdtPr>
        <w:rPr>
          <w:rFonts w:asciiTheme="minorHAnsi" w:eastAsiaTheme="minorHAnsi" w:hAnsiTheme="minorHAnsi" w:cstheme="minorBidi"/>
          <w:b w:val="0"/>
          <w:bCs w:val="0"/>
          <w:color w:val="auto"/>
          <w:sz w:val="22"/>
          <w:szCs w:val="22"/>
        </w:rPr>
        <w:id w:val="491765345"/>
        <w:docPartObj>
          <w:docPartGallery w:val="Table of Contents"/>
          <w:docPartUnique/>
        </w:docPartObj>
      </w:sdtPr>
      <w:sdtEndPr>
        <w:rPr>
          <w:noProof/>
        </w:rPr>
      </w:sdtEndPr>
      <w:sdtContent>
        <w:p w:rsidR="00AD05EE" w:rsidRPr="00273D8E" w:rsidRDefault="00A43EAD" w:rsidP="00AD05EE">
          <w:pPr>
            <w:pStyle w:val="TOCHeading"/>
            <w:spacing w:before="0"/>
          </w:pPr>
          <w:r>
            <w:t>Kazalo</w:t>
          </w:r>
        </w:p>
        <w:p w:rsidR="007505BF" w:rsidRDefault="005A3C60">
          <w:pPr>
            <w:pStyle w:val="TOC1"/>
            <w:tabs>
              <w:tab w:val="right" w:leader="dot" w:pos="9062"/>
            </w:tabs>
            <w:rPr>
              <w:rFonts w:eastAsiaTheme="minorEastAsia"/>
              <w:noProof/>
              <w:lang w:eastAsia="sl-SI"/>
            </w:rPr>
          </w:pPr>
          <w:r>
            <w:fldChar w:fldCharType="begin"/>
          </w:r>
          <w:r w:rsidR="00AD05EE">
            <w:instrText xml:space="preserve"> TOC \o "1-3" \h \z \u </w:instrText>
          </w:r>
          <w:r>
            <w:fldChar w:fldCharType="separate"/>
          </w:r>
          <w:hyperlink w:anchor="_Toc327382743" w:history="1">
            <w:r w:rsidR="007505BF" w:rsidRPr="00A778F0">
              <w:rPr>
                <w:rStyle w:val="Hyperlink"/>
                <w:noProof/>
              </w:rPr>
              <w:t>UVOD</w:t>
            </w:r>
            <w:r w:rsidR="007505BF">
              <w:rPr>
                <w:noProof/>
                <w:webHidden/>
              </w:rPr>
              <w:tab/>
            </w:r>
            <w:r>
              <w:rPr>
                <w:noProof/>
                <w:webHidden/>
              </w:rPr>
              <w:fldChar w:fldCharType="begin"/>
            </w:r>
            <w:r w:rsidR="007505BF">
              <w:rPr>
                <w:noProof/>
                <w:webHidden/>
              </w:rPr>
              <w:instrText xml:space="preserve"> PAGEREF _Toc327382743 \h </w:instrText>
            </w:r>
            <w:r>
              <w:rPr>
                <w:noProof/>
                <w:webHidden/>
              </w:rPr>
            </w:r>
            <w:r>
              <w:rPr>
                <w:noProof/>
                <w:webHidden/>
              </w:rPr>
              <w:fldChar w:fldCharType="separate"/>
            </w:r>
            <w:r w:rsidR="00502CF8">
              <w:rPr>
                <w:noProof/>
                <w:webHidden/>
              </w:rPr>
              <w:t>1</w:t>
            </w:r>
            <w:r>
              <w:rPr>
                <w:noProof/>
                <w:webHidden/>
              </w:rPr>
              <w:fldChar w:fldCharType="end"/>
            </w:r>
          </w:hyperlink>
        </w:p>
        <w:p w:rsidR="007505BF" w:rsidRDefault="00293E8B">
          <w:pPr>
            <w:pStyle w:val="TOC1"/>
            <w:tabs>
              <w:tab w:val="left" w:pos="440"/>
              <w:tab w:val="right" w:leader="dot" w:pos="9062"/>
            </w:tabs>
            <w:rPr>
              <w:rFonts w:eastAsiaTheme="minorEastAsia"/>
              <w:noProof/>
              <w:lang w:eastAsia="sl-SI"/>
            </w:rPr>
          </w:pPr>
          <w:hyperlink w:anchor="_Toc327382744" w:history="1">
            <w:r w:rsidR="007505BF" w:rsidRPr="00A778F0">
              <w:rPr>
                <w:rStyle w:val="Hyperlink"/>
                <w:noProof/>
              </w:rPr>
              <w:t>1.</w:t>
            </w:r>
            <w:r w:rsidR="007505BF">
              <w:rPr>
                <w:rFonts w:eastAsiaTheme="minorEastAsia"/>
                <w:noProof/>
                <w:lang w:eastAsia="sl-SI"/>
              </w:rPr>
              <w:tab/>
            </w:r>
            <w:r w:rsidR="007505BF" w:rsidRPr="00A778F0">
              <w:rPr>
                <w:rStyle w:val="Hyperlink"/>
                <w:noProof/>
              </w:rPr>
              <w:t>METODA DISKONTIRANIH DENARNIH TOKOV</w:t>
            </w:r>
            <w:r w:rsidR="007505BF">
              <w:rPr>
                <w:noProof/>
                <w:webHidden/>
              </w:rPr>
              <w:tab/>
            </w:r>
            <w:r w:rsidR="005A3C60">
              <w:rPr>
                <w:noProof/>
                <w:webHidden/>
              </w:rPr>
              <w:fldChar w:fldCharType="begin"/>
            </w:r>
            <w:r w:rsidR="007505BF">
              <w:rPr>
                <w:noProof/>
                <w:webHidden/>
              </w:rPr>
              <w:instrText xml:space="preserve"> PAGEREF _Toc327382744 \h </w:instrText>
            </w:r>
            <w:r w:rsidR="005A3C60">
              <w:rPr>
                <w:noProof/>
                <w:webHidden/>
              </w:rPr>
            </w:r>
            <w:r w:rsidR="005A3C60">
              <w:rPr>
                <w:noProof/>
                <w:webHidden/>
              </w:rPr>
              <w:fldChar w:fldCharType="separate"/>
            </w:r>
            <w:r w:rsidR="00502CF8">
              <w:rPr>
                <w:noProof/>
                <w:webHidden/>
              </w:rPr>
              <w:t>2</w:t>
            </w:r>
            <w:r w:rsidR="005A3C60">
              <w:rPr>
                <w:noProof/>
                <w:webHidden/>
              </w:rPr>
              <w:fldChar w:fldCharType="end"/>
            </w:r>
          </w:hyperlink>
        </w:p>
        <w:p w:rsidR="007505BF" w:rsidRDefault="00293E8B">
          <w:pPr>
            <w:pStyle w:val="TOC2"/>
            <w:tabs>
              <w:tab w:val="left" w:pos="880"/>
              <w:tab w:val="right" w:leader="dot" w:pos="9062"/>
            </w:tabs>
            <w:rPr>
              <w:rFonts w:eastAsiaTheme="minorEastAsia"/>
              <w:noProof/>
              <w:lang w:eastAsia="sl-SI"/>
            </w:rPr>
          </w:pPr>
          <w:hyperlink w:anchor="_Toc327382745" w:history="1">
            <w:r w:rsidR="007505BF" w:rsidRPr="00A778F0">
              <w:rPr>
                <w:rStyle w:val="Hyperlink"/>
                <w:noProof/>
              </w:rPr>
              <w:t>1.1.</w:t>
            </w:r>
            <w:r w:rsidR="007505BF">
              <w:rPr>
                <w:rFonts w:eastAsiaTheme="minorEastAsia"/>
                <w:noProof/>
                <w:lang w:eastAsia="sl-SI"/>
              </w:rPr>
              <w:tab/>
            </w:r>
            <w:r w:rsidR="007505BF" w:rsidRPr="00A778F0">
              <w:rPr>
                <w:rStyle w:val="Hyperlink"/>
                <w:noProof/>
              </w:rPr>
              <w:t>PROSTI DENARNI TOK (FCFF)</w:t>
            </w:r>
            <w:r w:rsidR="007505BF">
              <w:rPr>
                <w:noProof/>
                <w:webHidden/>
              </w:rPr>
              <w:tab/>
            </w:r>
            <w:r w:rsidR="005A3C60">
              <w:rPr>
                <w:noProof/>
                <w:webHidden/>
              </w:rPr>
              <w:fldChar w:fldCharType="begin"/>
            </w:r>
            <w:r w:rsidR="007505BF">
              <w:rPr>
                <w:noProof/>
                <w:webHidden/>
              </w:rPr>
              <w:instrText xml:space="preserve"> PAGEREF _Toc327382745 \h </w:instrText>
            </w:r>
            <w:r w:rsidR="005A3C60">
              <w:rPr>
                <w:noProof/>
                <w:webHidden/>
              </w:rPr>
            </w:r>
            <w:r w:rsidR="005A3C60">
              <w:rPr>
                <w:noProof/>
                <w:webHidden/>
              </w:rPr>
              <w:fldChar w:fldCharType="separate"/>
            </w:r>
            <w:r w:rsidR="00502CF8">
              <w:rPr>
                <w:noProof/>
                <w:webHidden/>
              </w:rPr>
              <w:t>2</w:t>
            </w:r>
            <w:r w:rsidR="005A3C60">
              <w:rPr>
                <w:noProof/>
                <w:webHidden/>
              </w:rPr>
              <w:fldChar w:fldCharType="end"/>
            </w:r>
          </w:hyperlink>
        </w:p>
        <w:p w:rsidR="007505BF" w:rsidRDefault="00293E8B">
          <w:pPr>
            <w:pStyle w:val="TOC3"/>
            <w:tabs>
              <w:tab w:val="left" w:pos="1320"/>
              <w:tab w:val="right" w:leader="dot" w:pos="9062"/>
            </w:tabs>
            <w:rPr>
              <w:rFonts w:eastAsiaTheme="minorEastAsia"/>
              <w:noProof/>
              <w:lang w:eastAsia="sl-SI"/>
            </w:rPr>
          </w:pPr>
          <w:hyperlink w:anchor="_Toc327382746" w:history="1">
            <w:r w:rsidR="007505BF" w:rsidRPr="00A778F0">
              <w:rPr>
                <w:rStyle w:val="Hyperlink"/>
                <w:noProof/>
              </w:rPr>
              <w:t>1.1.1.</w:t>
            </w:r>
            <w:r w:rsidR="007505BF">
              <w:rPr>
                <w:rFonts w:eastAsiaTheme="minorEastAsia"/>
                <w:noProof/>
                <w:lang w:eastAsia="sl-SI"/>
              </w:rPr>
              <w:tab/>
            </w:r>
            <w:r w:rsidR="007505BF" w:rsidRPr="00A778F0">
              <w:rPr>
                <w:rStyle w:val="Hyperlink"/>
                <w:noProof/>
              </w:rPr>
              <w:t>Investicije, amortizacija in neto investicije</w:t>
            </w:r>
            <w:r w:rsidR="007505BF">
              <w:rPr>
                <w:noProof/>
                <w:webHidden/>
              </w:rPr>
              <w:tab/>
            </w:r>
            <w:r w:rsidR="005A3C60">
              <w:rPr>
                <w:noProof/>
                <w:webHidden/>
              </w:rPr>
              <w:fldChar w:fldCharType="begin"/>
            </w:r>
            <w:r w:rsidR="007505BF">
              <w:rPr>
                <w:noProof/>
                <w:webHidden/>
              </w:rPr>
              <w:instrText xml:space="preserve"> PAGEREF _Toc327382746 \h </w:instrText>
            </w:r>
            <w:r w:rsidR="005A3C60">
              <w:rPr>
                <w:noProof/>
                <w:webHidden/>
              </w:rPr>
            </w:r>
            <w:r w:rsidR="005A3C60">
              <w:rPr>
                <w:noProof/>
                <w:webHidden/>
              </w:rPr>
              <w:fldChar w:fldCharType="separate"/>
            </w:r>
            <w:r w:rsidR="00502CF8">
              <w:rPr>
                <w:noProof/>
                <w:webHidden/>
              </w:rPr>
              <w:t>2</w:t>
            </w:r>
            <w:r w:rsidR="005A3C60">
              <w:rPr>
                <w:noProof/>
                <w:webHidden/>
              </w:rPr>
              <w:fldChar w:fldCharType="end"/>
            </w:r>
          </w:hyperlink>
        </w:p>
        <w:p w:rsidR="007505BF" w:rsidRDefault="00293E8B">
          <w:pPr>
            <w:pStyle w:val="TOC3"/>
            <w:tabs>
              <w:tab w:val="left" w:pos="1320"/>
              <w:tab w:val="right" w:leader="dot" w:pos="9062"/>
            </w:tabs>
            <w:rPr>
              <w:rFonts w:eastAsiaTheme="minorEastAsia"/>
              <w:noProof/>
              <w:lang w:eastAsia="sl-SI"/>
            </w:rPr>
          </w:pPr>
          <w:hyperlink w:anchor="_Toc327382747" w:history="1">
            <w:r w:rsidR="007505BF" w:rsidRPr="00A778F0">
              <w:rPr>
                <w:rStyle w:val="Hyperlink"/>
                <w:noProof/>
              </w:rPr>
              <w:t>1.1.2.</w:t>
            </w:r>
            <w:r w:rsidR="007505BF">
              <w:rPr>
                <w:rFonts w:eastAsiaTheme="minorEastAsia"/>
                <w:noProof/>
                <w:lang w:eastAsia="sl-SI"/>
              </w:rPr>
              <w:tab/>
            </w:r>
            <w:r w:rsidR="007505BF" w:rsidRPr="00A778F0">
              <w:rPr>
                <w:rStyle w:val="Hyperlink"/>
                <w:noProof/>
              </w:rPr>
              <w:t>Prihodki</w:t>
            </w:r>
            <w:r w:rsidR="007505BF">
              <w:rPr>
                <w:noProof/>
                <w:webHidden/>
              </w:rPr>
              <w:tab/>
            </w:r>
            <w:r w:rsidR="005A3C60">
              <w:rPr>
                <w:noProof/>
                <w:webHidden/>
              </w:rPr>
              <w:fldChar w:fldCharType="begin"/>
            </w:r>
            <w:r w:rsidR="007505BF">
              <w:rPr>
                <w:noProof/>
                <w:webHidden/>
              </w:rPr>
              <w:instrText xml:space="preserve"> PAGEREF _Toc327382747 \h </w:instrText>
            </w:r>
            <w:r w:rsidR="005A3C60">
              <w:rPr>
                <w:noProof/>
                <w:webHidden/>
              </w:rPr>
            </w:r>
            <w:r w:rsidR="005A3C60">
              <w:rPr>
                <w:noProof/>
                <w:webHidden/>
              </w:rPr>
              <w:fldChar w:fldCharType="separate"/>
            </w:r>
            <w:r w:rsidR="00502CF8">
              <w:rPr>
                <w:noProof/>
                <w:webHidden/>
              </w:rPr>
              <w:t>3</w:t>
            </w:r>
            <w:r w:rsidR="005A3C60">
              <w:rPr>
                <w:noProof/>
                <w:webHidden/>
              </w:rPr>
              <w:fldChar w:fldCharType="end"/>
            </w:r>
          </w:hyperlink>
        </w:p>
        <w:p w:rsidR="007505BF" w:rsidRDefault="00293E8B">
          <w:pPr>
            <w:pStyle w:val="TOC3"/>
            <w:tabs>
              <w:tab w:val="left" w:pos="1320"/>
              <w:tab w:val="right" w:leader="dot" w:pos="9062"/>
            </w:tabs>
            <w:rPr>
              <w:rFonts w:eastAsiaTheme="minorEastAsia"/>
              <w:noProof/>
              <w:lang w:eastAsia="sl-SI"/>
            </w:rPr>
          </w:pPr>
          <w:hyperlink w:anchor="_Toc327382748" w:history="1">
            <w:r w:rsidR="007505BF" w:rsidRPr="00A778F0">
              <w:rPr>
                <w:rStyle w:val="Hyperlink"/>
                <w:noProof/>
              </w:rPr>
              <w:t>1.1.3.</w:t>
            </w:r>
            <w:r w:rsidR="007505BF">
              <w:rPr>
                <w:rFonts w:eastAsiaTheme="minorEastAsia"/>
                <w:noProof/>
                <w:lang w:eastAsia="sl-SI"/>
              </w:rPr>
              <w:tab/>
            </w:r>
            <w:r w:rsidR="007505BF" w:rsidRPr="00A778F0">
              <w:rPr>
                <w:rStyle w:val="Hyperlink"/>
                <w:noProof/>
              </w:rPr>
              <w:t>Čista obratna sredstva</w:t>
            </w:r>
            <w:r w:rsidR="007505BF">
              <w:rPr>
                <w:noProof/>
                <w:webHidden/>
              </w:rPr>
              <w:tab/>
            </w:r>
            <w:r w:rsidR="005A3C60">
              <w:rPr>
                <w:noProof/>
                <w:webHidden/>
              </w:rPr>
              <w:fldChar w:fldCharType="begin"/>
            </w:r>
            <w:r w:rsidR="007505BF">
              <w:rPr>
                <w:noProof/>
                <w:webHidden/>
              </w:rPr>
              <w:instrText xml:space="preserve"> PAGEREF _Toc327382748 \h </w:instrText>
            </w:r>
            <w:r w:rsidR="005A3C60">
              <w:rPr>
                <w:noProof/>
                <w:webHidden/>
              </w:rPr>
            </w:r>
            <w:r w:rsidR="005A3C60">
              <w:rPr>
                <w:noProof/>
                <w:webHidden/>
              </w:rPr>
              <w:fldChar w:fldCharType="separate"/>
            </w:r>
            <w:r w:rsidR="00502CF8">
              <w:rPr>
                <w:noProof/>
                <w:webHidden/>
              </w:rPr>
              <w:t>5</w:t>
            </w:r>
            <w:r w:rsidR="005A3C60">
              <w:rPr>
                <w:noProof/>
                <w:webHidden/>
              </w:rPr>
              <w:fldChar w:fldCharType="end"/>
            </w:r>
          </w:hyperlink>
        </w:p>
        <w:p w:rsidR="007505BF" w:rsidRDefault="00293E8B">
          <w:pPr>
            <w:pStyle w:val="TOC3"/>
            <w:tabs>
              <w:tab w:val="left" w:pos="1320"/>
              <w:tab w:val="right" w:leader="dot" w:pos="9062"/>
            </w:tabs>
            <w:rPr>
              <w:rFonts w:eastAsiaTheme="minorEastAsia"/>
              <w:noProof/>
              <w:lang w:eastAsia="sl-SI"/>
            </w:rPr>
          </w:pPr>
          <w:hyperlink w:anchor="_Toc327382749" w:history="1">
            <w:r w:rsidR="007505BF" w:rsidRPr="00A778F0">
              <w:rPr>
                <w:rStyle w:val="Hyperlink"/>
                <w:noProof/>
              </w:rPr>
              <w:t>1.1.4.</w:t>
            </w:r>
            <w:r w:rsidR="007505BF">
              <w:rPr>
                <w:rFonts w:eastAsiaTheme="minorEastAsia"/>
                <w:noProof/>
                <w:lang w:eastAsia="sl-SI"/>
              </w:rPr>
              <w:tab/>
            </w:r>
            <w:r w:rsidR="007505BF" w:rsidRPr="00A778F0">
              <w:rPr>
                <w:rStyle w:val="Hyperlink"/>
                <w:noProof/>
              </w:rPr>
              <w:t>Dobiček</w:t>
            </w:r>
            <w:r w:rsidR="007505BF">
              <w:rPr>
                <w:noProof/>
                <w:webHidden/>
              </w:rPr>
              <w:tab/>
            </w:r>
            <w:r w:rsidR="005A3C60">
              <w:rPr>
                <w:noProof/>
                <w:webHidden/>
              </w:rPr>
              <w:fldChar w:fldCharType="begin"/>
            </w:r>
            <w:r w:rsidR="007505BF">
              <w:rPr>
                <w:noProof/>
                <w:webHidden/>
              </w:rPr>
              <w:instrText xml:space="preserve"> PAGEREF _Toc327382749 \h </w:instrText>
            </w:r>
            <w:r w:rsidR="005A3C60">
              <w:rPr>
                <w:noProof/>
                <w:webHidden/>
              </w:rPr>
            </w:r>
            <w:r w:rsidR="005A3C60">
              <w:rPr>
                <w:noProof/>
                <w:webHidden/>
              </w:rPr>
              <w:fldChar w:fldCharType="separate"/>
            </w:r>
            <w:r w:rsidR="00502CF8">
              <w:rPr>
                <w:noProof/>
                <w:webHidden/>
              </w:rPr>
              <w:t>6</w:t>
            </w:r>
            <w:r w:rsidR="005A3C60">
              <w:rPr>
                <w:noProof/>
                <w:webHidden/>
              </w:rPr>
              <w:fldChar w:fldCharType="end"/>
            </w:r>
          </w:hyperlink>
        </w:p>
        <w:p w:rsidR="007505BF" w:rsidRDefault="00293E8B">
          <w:pPr>
            <w:pStyle w:val="TOC3"/>
            <w:tabs>
              <w:tab w:val="left" w:pos="1320"/>
              <w:tab w:val="right" w:leader="dot" w:pos="9062"/>
            </w:tabs>
            <w:rPr>
              <w:rFonts w:eastAsiaTheme="minorEastAsia"/>
              <w:noProof/>
              <w:lang w:eastAsia="sl-SI"/>
            </w:rPr>
          </w:pPr>
          <w:hyperlink w:anchor="_Toc327382750" w:history="1">
            <w:r w:rsidR="007505BF" w:rsidRPr="00A778F0">
              <w:rPr>
                <w:rStyle w:val="Hyperlink"/>
                <w:noProof/>
              </w:rPr>
              <w:t>1.1.5.</w:t>
            </w:r>
            <w:r w:rsidR="007505BF">
              <w:rPr>
                <w:rFonts w:eastAsiaTheme="minorEastAsia"/>
                <w:noProof/>
                <w:lang w:eastAsia="sl-SI"/>
              </w:rPr>
              <w:tab/>
            </w:r>
            <w:r w:rsidR="007505BF" w:rsidRPr="00A778F0">
              <w:rPr>
                <w:rStyle w:val="Hyperlink"/>
                <w:noProof/>
              </w:rPr>
              <w:t>Izračun FCFF</w:t>
            </w:r>
            <w:r w:rsidR="007505BF">
              <w:rPr>
                <w:noProof/>
                <w:webHidden/>
              </w:rPr>
              <w:tab/>
            </w:r>
            <w:r w:rsidR="005A3C60">
              <w:rPr>
                <w:noProof/>
                <w:webHidden/>
              </w:rPr>
              <w:fldChar w:fldCharType="begin"/>
            </w:r>
            <w:r w:rsidR="007505BF">
              <w:rPr>
                <w:noProof/>
                <w:webHidden/>
              </w:rPr>
              <w:instrText xml:space="preserve"> PAGEREF _Toc327382750 \h </w:instrText>
            </w:r>
            <w:r w:rsidR="005A3C60">
              <w:rPr>
                <w:noProof/>
                <w:webHidden/>
              </w:rPr>
            </w:r>
            <w:r w:rsidR="005A3C60">
              <w:rPr>
                <w:noProof/>
                <w:webHidden/>
              </w:rPr>
              <w:fldChar w:fldCharType="separate"/>
            </w:r>
            <w:r w:rsidR="00502CF8">
              <w:rPr>
                <w:noProof/>
                <w:webHidden/>
              </w:rPr>
              <w:t>7</w:t>
            </w:r>
            <w:r w:rsidR="005A3C60">
              <w:rPr>
                <w:noProof/>
                <w:webHidden/>
              </w:rPr>
              <w:fldChar w:fldCharType="end"/>
            </w:r>
          </w:hyperlink>
        </w:p>
        <w:p w:rsidR="007505BF" w:rsidRDefault="00293E8B">
          <w:pPr>
            <w:pStyle w:val="TOC2"/>
            <w:tabs>
              <w:tab w:val="left" w:pos="880"/>
              <w:tab w:val="right" w:leader="dot" w:pos="9062"/>
            </w:tabs>
            <w:rPr>
              <w:rFonts w:eastAsiaTheme="minorEastAsia"/>
              <w:noProof/>
              <w:lang w:eastAsia="sl-SI"/>
            </w:rPr>
          </w:pPr>
          <w:hyperlink w:anchor="_Toc327382751" w:history="1">
            <w:r w:rsidR="007505BF" w:rsidRPr="00A778F0">
              <w:rPr>
                <w:rStyle w:val="Hyperlink"/>
                <w:noProof/>
              </w:rPr>
              <w:t>1.2.</w:t>
            </w:r>
            <w:r w:rsidR="007505BF">
              <w:rPr>
                <w:rFonts w:eastAsiaTheme="minorEastAsia"/>
                <w:noProof/>
                <w:lang w:eastAsia="sl-SI"/>
              </w:rPr>
              <w:tab/>
            </w:r>
            <w:r w:rsidR="007505BF" w:rsidRPr="00A778F0">
              <w:rPr>
                <w:rStyle w:val="Hyperlink"/>
                <w:noProof/>
              </w:rPr>
              <w:t>STOPNJA RASTI – G</w:t>
            </w:r>
            <w:r w:rsidR="007505BF">
              <w:rPr>
                <w:noProof/>
                <w:webHidden/>
              </w:rPr>
              <w:tab/>
            </w:r>
            <w:r w:rsidR="005A3C60">
              <w:rPr>
                <w:noProof/>
                <w:webHidden/>
              </w:rPr>
              <w:fldChar w:fldCharType="begin"/>
            </w:r>
            <w:r w:rsidR="007505BF">
              <w:rPr>
                <w:noProof/>
                <w:webHidden/>
              </w:rPr>
              <w:instrText xml:space="preserve"> PAGEREF _Toc327382751 \h </w:instrText>
            </w:r>
            <w:r w:rsidR="005A3C60">
              <w:rPr>
                <w:noProof/>
                <w:webHidden/>
              </w:rPr>
            </w:r>
            <w:r w:rsidR="005A3C60">
              <w:rPr>
                <w:noProof/>
                <w:webHidden/>
              </w:rPr>
              <w:fldChar w:fldCharType="separate"/>
            </w:r>
            <w:r w:rsidR="00502CF8">
              <w:rPr>
                <w:noProof/>
                <w:webHidden/>
              </w:rPr>
              <w:t>7</w:t>
            </w:r>
            <w:r w:rsidR="005A3C60">
              <w:rPr>
                <w:noProof/>
                <w:webHidden/>
              </w:rPr>
              <w:fldChar w:fldCharType="end"/>
            </w:r>
          </w:hyperlink>
        </w:p>
        <w:p w:rsidR="007505BF" w:rsidRDefault="00293E8B">
          <w:pPr>
            <w:pStyle w:val="TOC2"/>
            <w:tabs>
              <w:tab w:val="left" w:pos="880"/>
              <w:tab w:val="right" w:leader="dot" w:pos="9062"/>
            </w:tabs>
            <w:rPr>
              <w:rFonts w:eastAsiaTheme="minorEastAsia"/>
              <w:noProof/>
              <w:lang w:eastAsia="sl-SI"/>
            </w:rPr>
          </w:pPr>
          <w:hyperlink w:anchor="_Toc327382752" w:history="1">
            <w:r w:rsidR="007505BF" w:rsidRPr="00A778F0">
              <w:rPr>
                <w:rStyle w:val="Hyperlink"/>
                <w:noProof/>
              </w:rPr>
              <w:t>1.3.</w:t>
            </w:r>
            <w:r w:rsidR="007505BF">
              <w:rPr>
                <w:rFonts w:eastAsiaTheme="minorEastAsia"/>
                <w:noProof/>
                <w:lang w:eastAsia="sl-SI"/>
              </w:rPr>
              <w:tab/>
            </w:r>
            <w:r w:rsidR="007505BF" w:rsidRPr="00A778F0">
              <w:rPr>
                <w:rStyle w:val="Hyperlink"/>
                <w:noProof/>
              </w:rPr>
              <w:t>STROŠEK KAPITALA WACC</w:t>
            </w:r>
            <w:r w:rsidR="007505BF">
              <w:rPr>
                <w:noProof/>
                <w:webHidden/>
              </w:rPr>
              <w:tab/>
            </w:r>
            <w:r w:rsidR="005A3C60">
              <w:rPr>
                <w:noProof/>
                <w:webHidden/>
              </w:rPr>
              <w:fldChar w:fldCharType="begin"/>
            </w:r>
            <w:r w:rsidR="007505BF">
              <w:rPr>
                <w:noProof/>
                <w:webHidden/>
              </w:rPr>
              <w:instrText xml:space="preserve"> PAGEREF _Toc327382752 \h </w:instrText>
            </w:r>
            <w:r w:rsidR="005A3C60">
              <w:rPr>
                <w:noProof/>
                <w:webHidden/>
              </w:rPr>
            </w:r>
            <w:r w:rsidR="005A3C60">
              <w:rPr>
                <w:noProof/>
                <w:webHidden/>
              </w:rPr>
              <w:fldChar w:fldCharType="separate"/>
            </w:r>
            <w:r w:rsidR="00502CF8">
              <w:rPr>
                <w:noProof/>
                <w:webHidden/>
              </w:rPr>
              <w:t>9</w:t>
            </w:r>
            <w:r w:rsidR="005A3C60">
              <w:rPr>
                <w:noProof/>
                <w:webHidden/>
              </w:rPr>
              <w:fldChar w:fldCharType="end"/>
            </w:r>
          </w:hyperlink>
        </w:p>
        <w:p w:rsidR="007505BF" w:rsidRDefault="00293E8B">
          <w:pPr>
            <w:pStyle w:val="TOC3"/>
            <w:tabs>
              <w:tab w:val="left" w:pos="1320"/>
              <w:tab w:val="right" w:leader="dot" w:pos="9062"/>
            </w:tabs>
            <w:rPr>
              <w:rFonts w:eastAsiaTheme="minorEastAsia"/>
              <w:noProof/>
              <w:lang w:eastAsia="sl-SI"/>
            </w:rPr>
          </w:pPr>
          <w:hyperlink w:anchor="_Toc327382753" w:history="1">
            <w:r w:rsidR="007505BF" w:rsidRPr="00A778F0">
              <w:rPr>
                <w:rStyle w:val="Hyperlink"/>
                <w:noProof/>
              </w:rPr>
              <w:t>1.3.1.</w:t>
            </w:r>
            <w:r w:rsidR="007505BF">
              <w:rPr>
                <w:rFonts w:eastAsiaTheme="minorEastAsia"/>
                <w:noProof/>
                <w:lang w:eastAsia="sl-SI"/>
              </w:rPr>
              <w:tab/>
            </w:r>
            <w:r w:rsidR="007505BF" w:rsidRPr="00A778F0">
              <w:rPr>
                <w:rStyle w:val="Hyperlink"/>
                <w:noProof/>
              </w:rPr>
              <w:t>Strošek dolžniškega kapitala</w:t>
            </w:r>
            <w:r w:rsidR="007505BF">
              <w:rPr>
                <w:noProof/>
                <w:webHidden/>
              </w:rPr>
              <w:tab/>
            </w:r>
            <w:r w:rsidR="005A3C60">
              <w:rPr>
                <w:noProof/>
                <w:webHidden/>
              </w:rPr>
              <w:fldChar w:fldCharType="begin"/>
            </w:r>
            <w:r w:rsidR="007505BF">
              <w:rPr>
                <w:noProof/>
                <w:webHidden/>
              </w:rPr>
              <w:instrText xml:space="preserve"> PAGEREF _Toc327382753 \h </w:instrText>
            </w:r>
            <w:r w:rsidR="005A3C60">
              <w:rPr>
                <w:noProof/>
                <w:webHidden/>
              </w:rPr>
            </w:r>
            <w:r w:rsidR="005A3C60">
              <w:rPr>
                <w:noProof/>
                <w:webHidden/>
              </w:rPr>
              <w:fldChar w:fldCharType="separate"/>
            </w:r>
            <w:r w:rsidR="00502CF8">
              <w:rPr>
                <w:noProof/>
                <w:webHidden/>
              </w:rPr>
              <w:t>9</w:t>
            </w:r>
            <w:r w:rsidR="005A3C60">
              <w:rPr>
                <w:noProof/>
                <w:webHidden/>
              </w:rPr>
              <w:fldChar w:fldCharType="end"/>
            </w:r>
          </w:hyperlink>
        </w:p>
        <w:p w:rsidR="007505BF" w:rsidRDefault="00293E8B">
          <w:pPr>
            <w:pStyle w:val="TOC3"/>
            <w:tabs>
              <w:tab w:val="left" w:pos="1320"/>
              <w:tab w:val="right" w:leader="dot" w:pos="9062"/>
            </w:tabs>
            <w:rPr>
              <w:rFonts w:eastAsiaTheme="minorEastAsia"/>
              <w:noProof/>
              <w:lang w:eastAsia="sl-SI"/>
            </w:rPr>
          </w:pPr>
          <w:hyperlink w:anchor="_Toc327382754" w:history="1">
            <w:r w:rsidR="007505BF" w:rsidRPr="00A778F0">
              <w:rPr>
                <w:rStyle w:val="Hyperlink"/>
                <w:noProof/>
              </w:rPr>
              <w:t>1.3.2.</w:t>
            </w:r>
            <w:r w:rsidR="007505BF">
              <w:rPr>
                <w:rFonts w:eastAsiaTheme="minorEastAsia"/>
                <w:noProof/>
                <w:lang w:eastAsia="sl-SI"/>
              </w:rPr>
              <w:tab/>
            </w:r>
            <w:r w:rsidR="007505BF" w:rsidRPr="00A778F0">
              <w:rPr>
                <w:rStyle w:val="Hyperlink"/>
                <w:noProof/>
              </w:rPr>
              <w:t>Strošek lastniškega kapitala – CAPM</w:t>
            </w:r>
            <w:r w:rsidR="007505BF">
              <w:rPr>
                <w:noProof/>
                <w:webHidden/>
              </w:rPr>
              <w:tab/>
            </w:r>
            <w:r w:rsidR="005A3C60">
              <w:rPr>
                <w:noProof/>
                <w:webHidden/>
              </w:rPr>
              <w:fldChar w:fldCharType="begin"/>
            </w:r>
            <w:r w:rsidR="007505BF">
              <w:rPr>
                <w:noProof/>
                <w:webHidden/>
              </w:rPr>
              <w:instrText xml:space="preserve"> PAGEREF _Toc327382754 \h </w:instrText>
            </w:r>
            <w:r w:rsidR="005A3C60">
              <w:rPr>
                <w:noProof/>
                <w:webHidden/>
              </w:rPr>
            </w:r>
            <w:r w:rsidR="005A3C60">
              <w:rPr>
                <w:noProof/>
                <w:webHidden/>
              </w:rPr>
              <w:fldChar w:fldCharType="separate"/>
            </w:r>
            <w:r w:rsidR="00502CF8">
              <w:rPr>
                <w:noProof/>
                <w:webHidden/>
              </w:rPr>
              <w:t>10</w:t>
            </w:r>
            <w:r w:rsidR="005A3C60">
              <w:rPr>
                <w:noProof/>
                <w:webHidden/>
              </w:rPr>
              <w:fldChar w:fldCharType="end"/>
            </w:r>
          </w:hyperlink>
        </w:p>
        <w:p w:rsidR="007505BF" w:rsidRDefault="00293E8B">
          <w:pPr>
            <w:pStyle w:val="TOC3"/>
            <w:tabs>
              <w:tab w:val="left" w:pos="1320"/>
              <w:tab w:val="right" w:leader="dot" w:pos="9062"/>
            </w:tabs>
            <w:rPr>
              <w:rFonts w:eastAsiaTheme="minorEastAsia"/>
              <w:noProof/>
              <w:lang w:eastAsia="sl-SI"/>
            </w:rPr>
          </w:pPr>
          <w:hyperlink w:anchor="_Toc327382755" w:history="1">
            <w:r w:rsidR="007505BF" w:rsidRPr="00A778F0">
              <w:rPr>
                <w:rStyle w:val="Hyperlink"/>
                <w:noProof/>
              </w:rPr>
              <w:t>1.3.3.</w:t>
            </w:r>
            <w:r w:rsidR="007505BF">
              <w:rPr>
                <w:rFonts w:eastAsiaTheme="minorEastAsia"/>
                <w:noProof/>
                <w:lang w:eastAsia="sl-SI"/>
              </w:rPr>
              <w:tab/>
            </w:r>
            <w:r w:rsidR="007505BF" w:rsidRPr="00A778F0">
              <w:rPr>
                <w:rStyle w:val="Hyperlink"/>
                <w:noProof/>
              </w:rPr>
              <w:t>Izračun tehtanega stroška kapitala za Skupino Adria Mobil</w:t>
            </w:r>
            <w:r w:rsidR="007505BF">
              <w:rPr>
                <w:noProof/>
                <w:webHidden/>
              </w:rPr>
              <w:tab/>
            </w:r>
            <w:r w:rsidR="005A3C60">
              <w:rPr>
                <w:noProof/>
                <w:webHidden/>
              </w:rPr>
              <w:fldChar w:fldCharType="begin"/>
            </w:r>
            <w:r w:rsidR="007505BF">
              <w:rPr>
                <w:noProof/>
                <w:webHidden/>
              </w:rPr>
              <w:instrText xml:space="preserve"> PAGEREF _Toc327382755 \h </w:instrText>
            </w:r>
            <w:r w:rsidR="005A3C60">
              <w:rPr>
                <w:noProof/>
                <w:webHidden/>
              </w:rPr>
            </w:r>
            <w:r w:rsidR="005A3C60">
              <w:rPr>
                <w:noProof/>
                <w:webHidden/>
              </w:rPr>
              <w:fldChar w:fldCharType="separate"/>
            </w:r>
            <w:r w:rsidR="00502CF8">
              <w:rPr>
                <w:noProof/>
                <w:webHidden/>
              </w:rPr>
              <w:t>11</w:t>
            </w:r>
            <w:r w:rsidR="005A3C60">
              <w:rPr>
                <w:noProof/>
                <w:webHidden/>
              </w:rPr>
              <w:fldChar w:fldCharType="end"/>
            </w:r>
          </w:hyperlink>
        </w:p>
        <w:p w:rsidR="007505BF" w:rsidRDefault="00293E8B">
          <w:pPr>
            <w:pStyle w:val="TOC2"/>
            <w:tabs>
              <w:tab w:val="left" w:pos="880"/>
              <w:tab w:val="right" w:leader="dot" w:pos="9062"/>
            </w:tabs>
            <w:rPr>
              <w:rFonts w:eastAsiaTheme="minorEastAsia"/>
              <w:noProof/>
              <w:lang w:eastAsia="sl-SI"/>
            </w:rPr>
          </w:pPr>
          <w:hyperlink w:anchor="_Toc327382756" w:history="1">
            <w:r w:rsidR="007505BF" w:rsidRPr="00A778F0">
              <w:rPr>
                <w:rStyle w:val="Hyperlink"/>
                <w:noProof/>
              </w:rPr>
              <w:t>1.4.</w:t>
            </w:r>
            <w:r w:rsidR="007505BF">
              <w:rPr>
                <w:rFonts w:eastAsiaTheme="minorEastAsia"/>
                <w:noProof/>
                <w:lang w:eastAsia="sl-SI"/>
              </w:rPr>
              <w:tab/>
            </w:r>
            <w:r w:rsidR="007505BF" w:rsidRPr="00A778F0">
              <w:rPr>
                <w:rStyle w:val="Hyperlink"/>
                <w:noProof/>
              </w:rPr>
              <w:t>KONČNI REZULTAT – VREDNOST PODJETJA IN LASTNIŠKEGA KAPITALA</w:t>
            </w:r>
            <w:r w:rsidR="007505BF">
              <w:rPr>
                <w:noProof/>
                <w:webHidden/>
              </w:rPr>
              <w:tab/>
            </w:r>
            <w:r w:rsidR="005A3C60">
              <w:rPr>
                <w:noProof/>
                <w:webHidden/>
              </w:rPr>
              <w:fldChar w:fldCharType="begin"/>
            </w:r>
            <w:r w:rsidR="007505BF">
              <w:rPr>
                <w:noProof/>
                <w:webHidden/>
              </w:rPr>
              <w:instrText xml:space="preserve"> PAGEREF _Toc327382756 \h </w:instrText>
            </w:r>
            <w:r w:rsidR="005A3C60">
              <w:rPr>
                <w:noProof/>
                <w:webHidden/>
              </w:rPr>
            </w:r>
            <w:r w:rsidR="005A3C60">
              <w:rPr>
                <w:noProof/>
                <w:webHidden/>
              </w:rPr>
              <w:fldChar w:fldCharType="separate"/>
            </w:r>
            <w:r w:rsidR="00502CF8">
              <w:rPr>
                <w:noProof/>
                <w:webHidden/>
              </w:rPr>
              <w:t>12</w:t>
            </w:r>
            <w:r w:rsidR="005A3C60">
              <w:rPr>
                <w:noProof/>
                <w:webHidden/>
              </w:rPr>
              <w:fldChar w:fldCharType="end"/>
            </w:r>
          </w:hyperlink>
        </w:p>
        <w:p w:rsidR="007505BF" w:rsidRDefault="00293E8B">
          <w:pPr>
            <w:pStyle w:val="TOC2"/>
            <w:tabs>
              <w:tab w:val="left" w:pos="880"/>
              <w:tab w:val="right" w:leader="dot" w:pos="9062"/>
            </w:tabs>
            <w:rPr>
              <w:rFonts w:eastAsiaTheme="minorEastAsia"/>
              <w:noProof/>
              <w:lang w:eastAsia="sl-SI"/>
            </w:rPr>
          </w:pPr>
          <w:hyperlink w:anchor="_Toc327382757" w:history="1">
            <w:r w:rsidR="007505BF" w:rsidRPr="00A778F0">
              <w:rPr>
                <w:rStyle w:val="Hyperlink"/>
                <w:noProof/>
              </w:rPr>
              <w:t>1.5.</w:t>
            </w:r>
            <w:r w:rsidR="007505BF">
              <w:rPr>
                <w:rFonts w:eastAsiaTheme="minorEastAsia"/>
                <w:noProof/>
                <w:lang w:eastAsia="sl-SI"/>
              </w:rPr>
              <w:tab/>
            </w:r>
            <w:r w:rsidR="007505BF" w:rsidRPr="00A778F0">
              <w:rPr>
                <w:rStyle w:val="Hyperlink"/>
                <w:noProof/>
              </w:rPr>
              <w:t>ANALIZA OBČUTLJIVOSTI ZA METODO FCF</w:t>
            </w:r>
            <w:r w:rsidR="007505BF">
              <w:rPr>
                <w:noProof/>
                <w:webHidden/>
              </w:rPr>
              <w:tab/>
            </w:r>
            <w:r w:rsidR="005A3C60">
              <w:rPr>
                <w:noProof/>
                <w:webHidden/>
              </w:rPr>
              <w:fldChar w:fldCharType="begin"/>
            </w:r>
            <w:r w:rsidR="007505BF">
              <w:rPr>
                <w:noProof/>
                <w:webHidden/>
              </w:rPr>
              <w:instrText xml:space="preserve"> PAGEREF _Toc327382757 \h </w:instrText>
            </w:r>
            <w:r w:rsidR="005A3C60">
              <w:rPr>
                <w:noProof/>
                <w:webHidden/>
              </w:rPr>
            </w:r>
            <w:r w:rsidR="005A3C60">
              <w:rPr>
                <w:noProof/>
                <w:webHidden/>
              </w:rPr>
              <w:fldChar w:fldCharType="separate"/>
            </w:r>
            <w:r w:rsidR="00502CF8">
              <w:rPr>
                <w:noProof/>
                <w:webHidden/>
              </w:rPr>
              <w:t>13</w:t>
            </w:r>
            <w:r w:rsidR="005A3C60">
              <w:rPr>
                <w:noProof/>
                <w:webHidden/>
              </w:rPr>
              <w:fldChar w:fldCharType="end"/>
            </w:r>
          </w:hyperlink>
        </w:p>
        <w:p w:rsidR="007505BF" w:rsidRDefault="00293E8B">
          <w:pPr>
            <w:pStyle w:val="TOC1"/>
            <w:tabs>
              <w:tab w:val="left" w:pos="440"/>
              <w:tab w:val="right" w:leader="dot" w:pos="9062"/>
            </w:tabs>
            <w:rPr>
              <w:rFonts w:eastAsiaTheme="minorEastAsia"/>
              <w:noProof/>
              <w:lang w:eastAsia="sl-SI"/>
            </w:rPr>
          </w:pPr>
          <w:hyperlink w:anchor="_Toc327382758" w:history="1">
            <w:r w:rsidR="007505BF" w:rsidRPr="00A778F0">
              <w:rPr>
                <w:rStyle w:val="Hyperlink"/>
                <w:noProof/>
              </w:rPr>
              <w:t>2.</w:t>
            </w:r>
            <w:r w:rsidR="007505BF">
              <w:rPr>
                <w:rFonts w:eastAsiaTheme="minorEastAsia"/>
                <w:noProof/>
                <w:lang w:eastAsia="sl-SI"/>
              </w:rPr>
              <w:tab/>
            </w:r>
            <w:r w:rsidR="007505BF" w:rsidRPr="00A778F0">
              <w:rPr>
                <w:rStyle w:val="Hyperlink"/>
                <w:noProof/>
              </w:rPr>
              <w:t>DIVIDENDNO DISKONTNI MODEL</w:t>
            </w:r>
            <w:r w:rsidR="007505BF">
              <w:rPr>
                <w:noProof/>
                <w:webHidden/>
              </w:rPr>
              <w:tab/>
            </w:r>
            <w:r w:rsidR="005A3C60">
              <w:rPr>
                <w:noProof/>
                <w:webHidden/>
              </w:rPr>
              <w:fldChar w:fldCharType="begin"/>
            </w:r>
            <w:r w:rsidR="007505BF">
              <w:rPr>
                <w:noProof/>
                <w:webHidden/>
              </w:rPr>
              <w:instrText xml:space="preserve"> PAGEREF _Toc327382758 \h </w:instrText>
            </w:r>
            <w:r w:rsidR="005A3C60">
              <w:rPr>
                <w:noProof/>
                <w:webHidden/>
              </w:rPr>
            </w:r>
            <w:r w:rsidR="005A3C60">
              <w:rPr>
                <w:noProof/>
                <w:webHidden/>
              </w:rPr>
              <w:fldChar w:fldCharType="separate"/>
            </w:r>
            <w:r w:rsidR="00502CF8">
              <w:rPr>
                <w:noProof/>
                <w:webHidden/>
              </w:rPr>
              <w:t>14</w:t>
            </w:r>
            <w:r w:rsidR="005A3C60">
              <w:rPr>
                <w:noProof/>
                <w:webHidden/>
              </w:rPr>
              <w:fldChar w:fldCharType="end"/>
            </w:r>
          </w:hyperlink>
        </w:p>
        <w:p w:rsidR="007505BF" w:rsidRDefault="00293E8B">
          <w:pPr>
            <w:pStyle w:val="TOC2"/>
            <w:tabs>
              <w:tab w:val="left" w:pos="880"/>
              <w:tab w:val="right" w:leader="dot" w:pos="9062"/>
            </w:tabs>
            <w:rPr>
              <w:rFonts w:eastAsiaTheme="minorEastAsia"/>
              <w:noProof/>
              <w:lang w:eastAsia="sl-SI"/>
            </w:rPr>
          </w:pPr>
          <w:hyperlink w:anchor="_Toc327382759" w:history="1">
            <w:r w:rsidR="007505BF" w:rsidRPr="00A778F0">
              <w:rPr>
                <w:rStyle w:val="Hyperlink"/>
                <w:noProof/>
              </w:rPr>
              <w:t>2.1.</w:t>
            </w:r>
            <w:r w:rsidR="007505BF">
              <w:rPr>
                <w:rFonts w:eastAsiaTheme="minorEastAsia"/>
                <w:noProof/>
                <w:lang w:eastAsia="sl-SI"/>
              </w:rPr>
              <w:tab/>
            </w:r>
            <w:r w:rsidR="007505BF" w:rsidRPr="00A778F0">
              <w:rPr>
                <w:rStyle w:val="Hyperlink"/>
                <w:noProof/>
              </w:rPr>
              <w:t>ANALIZA OBČUTLJIVOSTI ZA DIVIDENDNO DISKONTNI MODEL</w:t>
            </w:r>
            <w:r w:rsidR="007505BF">
              <w:rPr>
                <w:noProof/>
                <w:webHidden/>
              </w:rPr>
              <w:tab/>
            </w:r>
            <w:r w:rsidR="005A3C60">
              <w:rPr>
                <w:noProof/>
                <w:webHidden/>
              </w:rPr>
              <w:fldChar w:fldCharType="begin"/>
            </w:r>
            <w:r w:rsidR="007505BF">
              <w:rPr>
                <w:noProof/>
                <w:webHidden/>
              </w:rPr>
              <w:instrText xml:space="preserve"> PAGEREF _Toc327382759 \h </w:instrText>
            </w:r>
            <w:r w:rsidR="005A3C60">
              <w:rPr>
                <w:noProof/>
                <w:webHidden/>
              </w:rPr>
            </w:r>
            <w:r w:rsidR="005A3C60">
              <w:rPr>
                <w:noProof/>
                <w:webHidden/>
              </w:rPr>
              <w:fldChar w:fldCharType="separate"/>
            </w:r>
            <w:r w:rsidR="00502CF8">
              <w:rPr>
                <w:noProof/>
                <w:webHidden/>
              </w:rPr>
              <w:t>15</w:t>
            </w:r>
            <w:r w:rsidR="005A3C60">
              <w:rPr>
                <w:noProof/>
                <w:webHidden/>
              </w:rPr>
              <w:fldChar w:fldCharType="end"/>
            </w:r>
          </w:hyperlink>
        </w:p>
        <w:p w:rsidR="007505BF" w:rsidRDefault="00293E8B">
          <w:pPr>
            <w:pStyle w:val="TOC1"/>
            <w:tabs>
              <w:tab w:val="left" w:pos="440"/>
              <w:tab w:val="right" w:leader="dot" w:pos="9062"/>
            </w:tabs>
            <w:rPr>
              <w:rFonts w:eastAsiaTheme="minorEastAsia"/>
              <w:noProof/>
              <w:lang w:eastAsia="sl-SI"/>
            </w:rPr>
          </w:pPr>
          <w:hyperlink w:anchor="_Toc327382760" w:history="1">
            <w:r w:rsidR="007505BF" w:rsidRPr="00A778F0">
              <w:rPr>
                <w:rStyle w:val="Hyperlink"/>
                <w:noProof/>
              </w:rPr>
              <w:t>3.</w:t>
            </w:r>
            <w:r w:rsidR="007505BF">
              <w:rPr>
                <w:rFonts w:eastAsiaTheme="minorEastAsia"/>
                <w:noProof/>
                <w:lang w:eastAsia="sl-SI"/>
              </w:rPr>
              <w:tab/>
            </w:r>
            <w:r w:rsidR="007505BF" w:rsidRPr="00A778F0">
              <w:rPr>
                <w:rStyle w:val="Hyperlink"/>
                <w:noProof/>
              </w:rPr>
              <w:t>ANALIZA VREDNOSTI PODJETJA NA PODLAGI PRIMERLJIVIH KAZALNIKOV - MULTIPLIKATORJI</w:t>
            </w:r>
            <w:r w:rsidR="007505BF">
              <w:rPr>
                <w:noProof/>
                <w:webHidden/>
              </w:rPr>
              <w:tab/>
            </w:r>
            <w:r w:rsidR="005A3C60">
              <w:rPr>
                <w:noProof/>
                <w:webHidden/>
              </w:rPr>
              <w:fldChar w:fldCharType="begin"/>
            </w:r>
            <w:r w:rsidR="007505BF">
              <w:rPr>
                <w:noProof/>
                <w:webHidden/>
              </w:rPr>
              <w:instrText xml:space="preserve"> PAGEREF _Toc327382760 \h </w:instrText>
            </w:r>
            <w:r w:rsidR="005A3C60">
              <w:rPr>
                <w:noProof/>
                <w:webHidden/>
              </w:rPr>
            </w:r>
            <w:r w:rsidR="005A3C60">
              <w:rPr>
                <w:noProof/>
                <w:webHidden/>
              </w:rPr>
              <w:fldChar w:fldCharType="separate"/>
            </w:r>
            <w:r w:rsidR="00502CF8">
              <w:rPr>
                <w:noProof/>
                <w:webHidden/>
              </w:rPr>
              <w:t>15</w:t>
            </w:r>
            <w:r w:rsidR="005A3C60">
              <w:rPr>
                <w:noProof/>
                <w:webHidden/>
              </w:rPr>
              <w:fldChar w:fldCharType="end"/>
            </w:r>
          </w:hyperlink>
        </w:p>
        <w:p w:rsidR="007505BF" w:rsidRDefault="00293E8B">
          <w:pPr>
            <w:pStyle w:val="TOC1"/>
            <w:tabs>
              <w:tab w:val="left" w:pos="440"/>
              <w:tab w:val="right" w:leader="dot" w:pos="9062"/>
            </w:tabs>
            <w:rPr>
              <w:rFonts w:eastAsiaTheme="minorEastAsia"/>
              <w:noProof/>
              <w:lang w:eastAsia="sl-SI"/>
            </w:rPr>
          </w:pPr>
          <w:hyperlink w:anchor="_Toc327382761" w:history="1">
            <w:r w:rsidR="007505BF" w:rsidRPr="00A778F0">
              <w:rPr>
                <w:rStyle w:val="Hyperlink"/>
                <w:noProof/>
              </w:rPr>
              <w:t>4.</w:t>
            </w:r>
            <w:r w:rsidR="007505BF">
              <w:rPr>
                <w:rFonts w:eastAsiaTheme="minorEastAsia"/>
                <w:noProof/>
                <w:lang w:eastAsia="sl-SI"/>
              </w:rPr>
              <w:tab/>
            </w:r>
            <w:r w:rsidR="007505BF" w:rsidRPr="00A778F0">
              <w:rPr>
                <w:rStyle w:val="Hyperlink"/>
                <w:noProof/>
              </w:rPr>
              <w:t>IZRAČUN POVPREČNE VREDNOSTI LASTNIŠKEGA KAPITALA ZA VSE TRI METODE VREDNOTENJA</w:t>
            </w:r>
            <w:r w:rsidR="007505BF">
              <w:rPr>
                <w:noProof/>
                <w:webHidden/>
              </w:rPr>
              <w:tab/>
            </w:r>
            <w:r w:rsidR="005A3C60">
              <w:rPr>
                <w:noProof/>
                <w:webHidden/>
              </w:rPr>
              <w:fldChar w:fldCharType="begin"/>
            </w:r>
            <w:r w:rsidR="007505BF">
              <w:rPr>
                <w:noProof/>
                <w:webHidden/>
              </w:rPr>
              <w:instrText xml:space="preserve"> PAGEREF _Toc327382761 \h </w:instrText>
            </w:r>
            <w:r w:rsidR="005A3C60">
              <w:rPr>
                <w:noProof/>
                <w:webHidden/>
              </w:rPr>
            </w:r>
            <w:r w:rsidR="005A3C60">
              <w:rPr>
                <w:noProof/>
                <w:webHidden/>
              </w:rPr>
              <w:fldChar w:fldCharType="separate"/>
            </w:r>
            <w:r w:rsidR="00502CF8">
              <w:rPr>
                <w:noProof/>
                <w:webHidden/>
              </w:rPr>
              <w:t>19</w:t>
            </w:r>
            <w:r w:rsidR="005A3C60">
              <w:rPr>
                <w:noProof/>
                <w:webHidden/>
              </w:rPr>
              <w:fldChar w:fldCharType="end"/>
            </w:r>
          </w:hyperlink>
        </w:p>
        <w:p w:rsidR="007505BF" w:rsidRDefault="00293E8B">
          <w:pPr>
            <w:pStyle w:val="TOC1"/>
            <w:tabs>
              <w:tab w:val="right" w:leader="dot" w:pos="9062"/>
            </w:tabs>
            <w:rPr>
              <w:rFonts w:eastAsiaTheme="minorEastAsia"/>
              <w:noProof/>
              <w:lang w:eastAsia="sl-SI"/>
            </w:rPr>
          </w:pPr>
          <w:hyperlink w:anchor="_Toc327382762" w:history="1">
            <w:r w:rsidR="007505BF" w:rsidRPr="00A778F0">
              <w:rPr>
                <w:rStyle w:val="Hyperlink"/>
                <w:noProof/>
              </w:rPr>
              <w:t>VIRI</w:t>
            </w:r>
            <w:r w:rsidR="007505BF">
              <w:rPr>
                <w:noProof/>
                <w:webHidden/>
              </w:rPr>
              <w:tab/>
            </w:r>
            <w:r w:rsidR="005A3C60">
              <w:rPr>
                <w:noProof/>
                <w:webHidden/>
              </w:rPr>
              <w:fldChar w:fldCharType="begin"/>
            </w:r>
            <w:r w:rsidR="007505BF">
              <w:rPr>
                <w:noProof/>
                <w:webHidden/>
              </w:rPr>
              <w:instrText xml:space="preserve"> PAGEREF _Toc327382762 \h </w:instrText>
            </w:r>
            <w:r w:rsidR="005A3C60">
              <w:rPr>
                <w:noProof/>
                <w:webHidden/>
              </w:rPr>
            </w:r>
            <w:r w:rsidR="005A3C60">
              <w:rPr>
                <w:noProof/>
                <w:webHidden/>
              </w:rPr>
              <w:fldChar w:fldCharType="separate"/>
            </w:r>
            <w:r w:rsidR="00502CF8">
              <w:rPr>
                <w:noProof/>
                <w:webHidden/>
              </w:rPr>
              <w:t>20</w:t>
            </w:r>
            <w:r w:rsidR="005A3C60">
              <w:rPr>
                <w:noProof/>
                <w:webHidden/>
              </w:rPr>
              <w:fldChar w:fldCharType="end"/>
            </w:r>
          </w:hyperlink>
        </w:p>
        <w:p w:rsidR="00AD05EE" w:rsidRDefault="005A3C60" w:rsidP="00AD05EE">
          <w:r>
            <w:rPr>
              <w:b/>
              <w:bCs/>
              <w:noProof/>
            </w:rPr>
            <w:fldChar w:fldCharType="end"/>
          </w:r>
        </w:p>
      </w:sdtContent>
    </w:sdt>
    <w:p w:rsidR="007505BF" w:rsidRDefault="007505BF">
      <w:pPr>
        <w:pStyle w:val="TableofFigures"/>
        <w:tabs>
          <w:tab w:val="right" w:leader="dot" w:pos="9062"/>
        </w:tabs>
      </w:pPr>
    </w:p>
    <w:p w:rsidR="007505BF" w:rsidRDefault="007505BF" w:rsidP="007505BF"/>
    <w:p w:rsidR="007505BF" w:rsidRDefault="007505BF" w:rsidP="007505BF"/>
    <w:p w:rsidR="007505BF" w:rsidRDefault="007505BF" w:rsidP="007505BF"/>
    <w:p w:rsidR="007505BF" w:rsidRDefault="007505BF" w:rsidP="007505BF"/>
    <w:p w:rsidR="007505BF" w:rsidRDefault="007505BF" w:rsidP="007505BF"/>
    <w:p w:rsidR="007505BF" w:rsidRDefault="007505BF" w:rsidP="007505BF"/>
    <w:p w:rsidR="007505BF" w:rsidRDefault="007505BF" w:rsidP="007505BF"/>
    <w:p w:rsidR="007505BF" w:rsidRDefault="007505BF" w:rsidP="007505BF"/>
    <w:p w:rsidR="007505BF" w:rsidRPr="007505BF" w:rsidRDefault="007505BF" w:rsidP="007505BF">
      <w:pPr>
        <w:rPr>
          <w:rFonts w:asciiTheme="majorHAnsi" w:hAnsiTheme="majorHAnsi" w:cstheme="minorHAnsi"/>
          <w:b/>
          <w:color w:val="1F497D" w:themeColor="text2"/>
          <w:sz w:val="28"/>
        </w:rPr>
      </w:pPr>
      <w:r w:rsidRPr="007505BF">
        <w:rPr>
          <w:rFonts w:asciiTheme="majorHAnsi" w:hAnsiTheme="majorHAnsi" w:cstheme="minorHAnsi"/>
          <w:b/>
          <w:color w:val="1F497D" w:themeColor="text2"/>
          <w:sz w:val="28"/>
        </w:rPr>
        <w:lastRenderedPageBreak/>
        <w:t>Kazalo tabel</w:t>
      </w:r>
    </w:p>
    <w:p w:rsidR="007505BF" w:rsidRDefault="005A3C60">
      <w:pPr>
        <w:pStyle w:val="TableofFigures"/>
        <w:tabs>
          <w:tab w:val="right" w:leader="dot" w:pos="9062"/>
        </w:tabs>
        <w:rPr>
          <w:rFonts w:eastAsiaTheme="minorEastAsia"/>
          <w:noProof/>
          <w:lang w:eastAsia="sl-SI"/>
        </w:rPr>
      </w:pPr>
      <w:r>
        <w:fldChar w:fldCharType="begin"/>
      </w:r>
      <w:r w:rsidR="00A43EAD">
        <w:instrText xml:space="preserve"> TOC \h \z \c "Tabela" </w:instrText>
      </w:r>
      <w:r>
        <w:fldChar w:fldCharType="separate"/>
      </w:r>
      <w:hyperlink w:anchor="_Toc327382763" w:history="1">
        <w:r w:rsidR="007505BF" w:rsidRPr="009F6194">
          <w:rPr>
            <w:rStyle w:val="Hyperlink"/>
            <w:noProof/>
          </w:rPr>
          <w:t>Tabela 1: Investicije, amortizacija in neto investicija</w:t>
        </w:r>
        <w:r w:rsidR="007505BF">
          <w:rPr>
            <w:noProof/>
            <w:webHidden/>
          </w:rPr>
          <w:tab/>
        </w:r>
        <w:r>
          <w:rPr>
            <w:noProof/>
            <w:webHidden/>
          </w:rPr>
          <w:fldChar w:fldCharType="begin"/>
        </w:r>
        <w:r w:rsidR="007505BF">
          <w:rPr>
            <w:noProof/>
            <w:webHidden/>
          </w:rPr>
          <w:instrText xml:space="preserve"> PAGEREF _Toc327382763 \h </w:instrText>
        </w:r>
        <w:r>
          <w:rPr>
            <w:noProof/>
            <w:webHidden/>
          </w:rPr>
        </w:r>
        <w:r>
          <w:rPr>
            <w:noProof/>
            <w:webHidden/>
          </w:rPr>
          <w:fldChar w:fldCharType="separate"/>
        </w:r>
        <w:r w:rsidR="00502CF8">
          <w:rPr>
            <w:noProof/>
            <w:webHidden/>
          </w:rPr>
          <w:t>2</w:t>
        </w:r>
        <w:r>
          <w:rPr>
            <w:noProof/>
            <w:webHidden/>
          </w:rPr>
          <w:fldChar w:fldCharType="end"/>
        </w:r>
      </w:hyperlink>
    </w:p>
    <w:p w:rsidR="007505BF" w:rsidRDefault="00293E8B">
      <w:pPr>
        <w:pStyle w:val="TableofFigures"/>
        <w:tabs>
          <w:tab w:val="right" w:leader="dot" w:pos="9062"/>
        </w:tabs>
        <w:rPr>
          <w:rFonts w:eastAsiaTheme="minorEastAsia"/>
          <w:noProof/>
          <w:lang w:eastAsia="sl-SI"/>
        </w:rPr>
      </w:pPr>
      <w:hyperlink w:anchor="_Toc327382764" w:history="1">
        <w:r w:rsidR="007505BF" w:rsidRPr="009F6194">
          <w:rPr>
            <w:rStyle w:val="Hyperlink"/>
            <w:noProof/>
          </w:rPr>
          <w:t>Tabela 2: Na poved prihodkov</w:t>
        </w:r>
        <w:r w:rsidR="007505BF">
          <w:rPr>
            <w:noProof/>
            <w:webHidden/>
          </w:rPr>
          <w:tab/>
        </w:r>
        <w:r w:rsidR="005A3C60">
          <w:rPr>
            <w:noProof/>
            <w:webHidden/>
          </w:rPr>
          <w:fldChar w:fldCharType="begin"/>
        </w:r>
        <w:r w:rsidR="007505BF">
          <w:rPr>
            <w:noProof/>
            <w:webHidden/>
          </w:rPr>
          <w:instrText xml:space="preserve"> PAGEREF _Toc327382764 \h </w:instrText>
        </w:r>
        <w:r w:rsidR="005A3C60">
          <w:rPr>
            <w:noProof/>
            <w:webHidden/>
          </w:rPr>
        </w:r>
        <w:r w:rsidR="005A3C60">
          <w:rPr>
            <w:noProof/>
            <w:webHidden/>
          </w:rPr>
          <w:fldChar w:fldCharType="separate"/>
        </w:r>
        <w:r w:rsidR="00502CF8">
          <w:rPr>
            <w:noProof/>
            <w:webHidden/>
          </w:rPr>
          <w:t>3</w:t>
        </w:r>
        <w:r w:rsidR="005A3C60">
          <w:rPr>
            <w:noProof/>
            <w:webHidden/>
          </w:rPr>
          <w:fldChar w:fldCharType="end"/>
        </w:r>
      </w:hyperlink>
    </w:p>
    <w:p w:rsidR="007505BF" w:rsidRDefault="00293E8B">
      <w:pPr>
        <w:pStyle w:val="TableofFigures"/>
        <w:tabs>
          <w:tab w:val="right" w:leader="dot" w:pos="9062"/>
        </w:tabs>
        <w:rPr>
          <w:rFonts w:eastAsiaTheme="minorEastAsia"/>
          <w:noProof/>
          <w:lang w:eastAsia="sl-SI"/>
        </w:rPr>
      </w:pPr>
      <w:hyperlink w:anchor="_Toc327382765" w:history="1">
        <w:r w:rsidR="007505BF" w:rsidRPr="009F6194">
          <w:rPr>
            <w:rStyle w:val="Hyperlink"/>
            <w:noProof/>
          </w:rPr>
          <w:t>Tabela 3: Napoved čistih obratnih sredstev</w:t>
        </w:r>
        <w:r w:rsidR="007505BF">
          <w:rPr>
            <w:noProof/>
            <w:webHidden/>
          </w:rPr>
          <w:tab/>
        </w:r>
        <w:r w:rsidR="005A3C60">
          <w:rPr>
            <w:noProof/>
            <w:webHidden/>
          </w:rPr>
          <w:fldChar w:fldCharType="begin"/>
        </w:r>
        <w:r w:rsidR="007505BF">
          <w:rPr>
            <w:noProof/>
            <w:webHidden/>
          </w:rPr>
          <w:instrText xml:space="preserve"> PAGEREF _Toc327382765 \h </w:instrText>
        </w:r>
        <w:r w:rsidR="005A3C60">
          <w:rPr>
            <w:noProof/>
            <w:webHidden/>
          </w:rPr>
        </w:r>
        <w:r w:rsidR="005A3C60">
          <w:rPr>
            <w:noProof/>
            <w:webHidden/>
          </w:rPr>
          <w:fldChar w:fldCharType="separate"/>
        </w:r>
        <w:r w:rsidR="00502CF8">
          <w:rPr>
            <w:noProof/>
            <w:webHidden/>
          </w:rPr>
          <w:t>5</w:t>
        </w:r>
        <w:r w:rsidR="005A3C60">
          <w:rPr>
            <w:noProof/>
            <w:webHidden/>
          </w:rPr>
          <w:fldChar w:fldCharType="end"/>
        </w:r>
      </w:hyperlink>
    </w:p>
    <w:p w:rsidR="007505BF" w:rsidRDefault="00293E8B">
      <w:pPr>
        <w:pStyle w:val="TableofFigures"/>
        <w:tabs>
          <w:tab w:val="right" w:leader="dot" w:pos="9062"/>
        </w:tabs>
        <w:rPr>
          <w:rFonts w:eastAsiaTheme="minorEastAsia"/>
          <w:noProof/>
          <w:lang w:eastAsia="sl-SI"/>
        </w:rPr>
      </w:pPr>
      <w:hyperlink w:anchor="_Toc327382766" w:history="1">
        <w:r w:rsidR="007505BF" w:rsidRPr="009F6194">
          <w:rPr>
            <w:rStyle w:val="Hyperlink"/>
            <w:noProof/>
          </w:rPr>
          <w:t>Tabela 4: Gibanje in napoved dobička</w:t>
        </w:r>
        <w:r w:rsidR="007505BF">
          <w:rPr>
            <w:noProof/>
            <w:webHidden/>
          </w:rPr>
          <w:tab/>
        </w:r>
        <w:r w:rsidR="005A3C60">
          <w:rPr>
            <w:noProof/>
            <w:webHidden/>
          </w:rPr>
          <w:fldChar w:fldCharType="begin"/>
        </w:r>
        <w:r w:rsidR="007505BF">
          <w:rPr>
            <w:noProof/>
            <w:webHidden/>
          </w:rPr>
          <w:instrText xml:space="preserve"> PAGEREF _Toc327382766 \h </w:instrText>
        </w:r>
        <w:r w:rsidR="005A3C60">
          <w:rPr>
            <w:noProof/>
            <w:webHidden/>
          </w:rPr>
        </w:r>
        <w:r w:rsidR="005A3C60">
          <w:rPr>
            <w:noProof/>
            <w:webHidden/>
          </w:rPr>
          <w:fldChar w:fldCharType="separate"/>
        </w:r>
        <w:r w:rsidR="00502CF8">
          <w:rPr>
            <w:noProof/>
            <w:webHidden/>
          </w:rPr>
          <w:t>6</w:t>
        </w:r>
        <w:r w:rsidR="005A3C60">
          <w:rPr>
            <w:noProof/>
            <w:webHidden/>
          </w:rPr>
          <w:fldChar w:fldCharType="end"/>
        </w:r>
      </w:hyperlink>
    </w:p>
    <w:p w:rsidR="007505BF" w:rsidRDefault="00293E8B">
      <w:pPr>
        <w:pStyle w:val="TableofFigures"/>
        <w:tabs>
          <w:tab w:val="right" w:leader="dot" w:pos="9062"/>
        </w:tabs>
        <w:rPr>
          <w:rFonts w:eastAsiaTheme="minorEastAsia"/>
          <w:noProof/>
          <w:lang w:eastAsia="sl-SI"/>
        </w:rPr>
      </w:pPr>
      <w:hyperlink w:anchor="_Toc327382767" w:history="1">
        <w:r w:rsidR="007505BF" w:rsidRPr="009F6194">
          <w:rPr>
            <w:rStyle w:val="Hyperlink"/>
            <w:noProof/>
          </w:rPr>
          <w:t>Tabela 5: Izračun prostih denarnih tokov</w:t>
        </w:r>
        <w:r w:rsidR="007505BF">
          <w:rPr>
            <w:noProof/>
            <w:webHidden/>
          </w:rPr>
          <w:tab/>
        </w:r>
        <w:r w:rsidR="005A3C60">
          <w:rPr>
            <w:noProof/>
            <w:webHidden/>
          </w:rPr>
          <w:fldChar w:fldCharType="begin"/>
        </w:r>
        <w:r w:rsidR="007505BF">
          <w:rPr>
            <w:noProof/>
            <w:webHidden/>
          </w:rPr>
          <w:instrText xml:space="preserve"> PAGEREF _Toc327382767 \h </w:instrText>
        </w:r>
        <w:r w:rsidR="005A3C60">
          <w:rPr>
            <w:noProof/>
            <w:webHidden/>
          </w:rPr>
        </w:r>
        <w:r w:rsidR="005A3C60">
          <w:rPr>
            <w:noProof/>
            <w:webHidden/>
          </w:rPr>
          <w:fldChar w:fldCharType="separate"/>
        </w:r>
        <w:r w:rsidR="00502CF8">
          <w:rPr>
            <w:noProof/>
            <w:webHidden/>
          </w:rPr>
          <w:t>7</w:t>
        </w:r>
        <w:r w:rsidR="005A3C60">
          <w:rPr>
            <w:noProof/>
            <w:webHidden/>
          </w:rPr>
          <w:fldChar w:fldCharType="end"/>
        </w:r>
      </w:hyperlink>
    </w:p>
    <w:p w:rsidR="007505BF" w:rsidRDefault="00293E8B">
      <w:pPr>
        <w:pStyle w:val="TableofFigures"/>
        <w:tabs>
          <w:tab w:val="right" w:leader="dot" w:pos="9062"/>
        </w:tabs>
        <w:rPr>
          <w:rFonts w:eastAsiaTheme="minorEastAsia"/>
          <w:noProof/>
          <w:lang w:eastAsia="sl-SI"/>
        </w:rPr>
      </w:pPr>
      <w:hyperlink w:anchor="_Toc327382768" w:history="1">
        <w:r w:rsidR="007505BF" w:rsidRPr="009F6194">
          <w:rPr>
            <w:rStyle w:val="Hyperlink"/>
            <w:noProof/>
          </w:rPr>
          <w:t>Tabela 6: Stopnje rasti iz različnih virov</w:t>
        </w:r>
        <w:r w:rsidR="007505BF">
          <w:rPr>
            <w:noProof/>
            <w:webHidden/>
          </w:rPr>
          <w:tab/>
        </w:r>
        <w:r w:rsidR="005A3C60">
          <w:rPr>
            <w:noProof/>
            <w:webHidden/>
          </w:rPr>
          <w:fldChar w:fldCharType="begin"/>
        </w:r>
        <w:r w:rsidR="007505BF">
          <w:rPr>
            <w:noProof/>
            <w:webHidden/>
          </w:rPr>
          <w:instrText xml:space="preserve"> PAGEREF _Toc327382768 \h </w:instrText>
        </w:r>
        <w:r w:rsidR="005A3C60">
          <w:rPr>
            <w:noProof/>
            <w:webHidden/>
          </w:rPr>
        </w:r>
        <w:r w:rsidR="005A3C60">
          <w:rPr>
            <w:noProof/>
            <w:webHidden/>
          </w:rPr>
          <w:fldChar w:fldCharType="separate"/>
        </w:r>
        <w:r w:rsidR="00502CF8">
          <w:rPr>
            <w:noProof/>
            <w:webHidden/>
          </w:rPr>
          <w:t>8</w:t>
        </w:r>
        <w:r w:rsidR="005A3C60">
          <w:rPr>
            <w:noProof/>
            <w:webHidden/>
          </w:rPr>
          <w:fldChar w:fldCharType="end"/>
        </w:r>
      </w:hyperlink>
    </w:p>
    <w:p w:rsidR="007505BF" w:rsidRDefault="00293E8B">
      <w:pPr>
        <w:pStyle w:val="TableofFigures"/>
        <w:tabs>
          <w:tab w:val="right" w:leader="dot" w:pos="9062"/>
        </w:tabs>
        <w:rPr>
          <w:rFonts w:eastAsiaTheme="minorEastAsia"/>
          <w:noProof/>
          <w:lang w:eastAsia="sl-SI"/>
        </w:rPr>
      </w:pPr>
      <w:hyperlink w:anchor="_Toc327382769" w:history="1">
        <w:r w:rsidR="007505BF" w:rsidRPr="009F6194">
          <w:rPr>
            <w:rStyle w:val="Hyperlink"/>
            <w:noProof/>
          </w:rPr>
          <w:t>Tabela 7: Izračun vrednosti podjetja in lastniškega kapitala</w:t>
        </w:r>
        <w:r w:rsidR="007505BF">
          <w:rPr>
            <w:noProof/>
            <w:webHidden/>
          </w:rPr>
          <w:tab/>
        </w:r>
        <w:r w:rsidR="005A3C60">
          <w:rPr>
            <w:noProof/>
            <w:webHidden/>
          </w:rPr>
          <w:fldChar w:fldCharType="begin"/>
        </w:r>
        <w:r w:rsidR="007505BF">
          <w:rPr>
            <w:noProof/>
            <w:webHidden/>
          </w:rPr>
          <w:instrText xml:space="preserve"> PAGEREF _Toc327382769 \h </w:instrText>
        </w:r>
        <w:r w:rsidR="005A3C60">
          <w:rPr>
            <w:noProof/>
            <w:webHidden/>
          </w:rPr>
        </w:r>
        <w:r w:rsidR="005A3C60">
          <w:rPr>
            <w:noProof/>
            <w:webHidden/>
          </w:rPr>
          <w:fldChar w:fldCharType="separate"/>
        </w:r>
        <w:r w:rsidR="00502CF8">
          <w:rPr>
            <w:noProof/>
            <w:webHidden/>
          </w:rPr>
          <w:t>12</w:t>
        </w:r>
        <w:r w:rsidR="005A3C60">
          <w:rPr>
            <w:noProof/>
            <w:webHidden/>
          </w:rPr>
          <w:fldChar w:fldCharType="end"/>
        </w:r>
      </w:hyperlink>
    </w:p>
    <w:p w:rsidR="007505BF" w:rsidRDefault="00293E8B">
      <w:pPr>
        <w:pStyle w:val="TableofFigures"/>
        <w:tabs>
          <w:tab w:val="right" w:leader="dot" w:pos="9062"/>
        </w:tabs>
        <w:rPr>
          <w:rFonts w:eastAsiaTheme="minorEastAsia"/>
          <w:noProof/>
          <w:lang w:eastAsia="sl-SI"/>
        </w:rPr>
      </w:pPr>
      <w:hyperlink w:anchor="_Toc327382770" w:history="1">
        <w:r w:rsidR="007505BF" w:rsidRPr="009F6194">
          <w:rPr>
            <w:rStyle w:val="Hyperlink"/>
            <w:noProof/>
          </w:rPr>
          <w:t>Tabela 8: Analiza občutljivosti vrednosti lastniškega kapitala na podlagi metode FCFF (v EUR):</w:t>
        </w:r>
        <w:r w:rsidR="007505BF">
          <w:rPr>
            <w:noProof/>
            <w:webHidden/>
          </w:rPr>
          <w:tab/>
        </w:r>
        <w:r w:rsidR="005A3C60">
          <w:rPr>
            <w:noProof/>
            <w:webHidden/>
          </w:rPr>
          <w:fldChar w:fldCharType="begin"/>
        </w:r>
        <w:r w:rsidR="007505BF">
          <w:rPr>
            <w:noProof/>
            <w:webHidden/>
          </w:rPr>
          <w:instrText xml:space="preserve"> PAGEREF _Toc327382770 \h </w:instrText>
        </w:r>
        <w:r w:rsidR="005A3C60">
          <w:rPr>
            <w:noProof/>
            <w:webHidden/>
          </w:rPr>
        </w:r>
        <w:r w:rsidR="005A3C60">
          <w:rPr>
            <w:noProof/>
            <w:webHidden/>
          </w:rPr>
          <w:fldChar w:fldCharType="separate"/>
        </w:r>
        <w:r w:rsidR="00502CF8">
          <w:rPr>
            <w:noProof/>
            <w:webHidden/>
          </w:rPr>
          <w:t>13</w:t>
        </w:r>
        <w:r w:rsidR="005A3C60">
          <w:rPr>
            <w:noProof/>
            <w:webHidden/>
          </w:rPr>
          <w:fldChar w:fldCharType="end"/>
        </w:r>
      </w:hyperlink>
    </w:p>
    <w:p w:rsidR="007505BF" w:rsidRDefault="00293E8B">
      <w:pPr>
        <w:pStyle w:val="TableofFigures"/>
        <w:tabs>
          <w:tab w:val="right" w:leader="dot" w:pos="9062"/>
        </w:tabs>
        <w:rPr>
          <w:rFonts w:eastAsiaTheme="minorEastAsia"/>
          <w:noProof/>
          <w:lang w:eastAsia="sl-SI"/>
        </w:rPr>
      </w:pPr>
      <w:hyperlink w:anchor="_Toc327382771" w:history="1">
        <w:r w:rsidR="007505BF" w:rsidRPr="009F6194">
          <w:rPr>
            <w:rStyle w:val="Hyperlink"/>
            <w:noProof/>
          </w:rPr>
          <w:t>Tabela 9: Analiza občutljivosti glede na dividendni model vrednotenja skupine Adria Mobil (v €)</w:t>
        </w:r>
        <w:r w:rsidR="007505BF">
          <w:rPr>
            <w:noProof/>
            <w:webHidden/>
          </w:rPr>
          <w:tab/>
        </w:r>
        <w:r w:rsidR="005A3C60">
          <w:rPr>
            <w:noProof/>
            <w:webHidden/>
          </w:rPr>
          <w:fldChar w:fldCharType="begin"/>
        </w:r>
        <w:r w:rsidR="007505BF">
          <w:rPr>
            <w:noProof/>
            <w:webHidden/>
          </w:rPr>
          <w:instrText xml:space="preserve"> PAGEREF _Toc327382771 \h </w:instrText>
        </w:r>
        <w:r w:rsidR="005A3C60">
          <w:rPr>
            <w:noProof/>
            <w:webHidden/>
          </w:rPr>
        </w:r>
        <w:r w:rsidR="005A3C60">
          <w:rPr>
            <w:noProof/>
            <w:webHidden/>
          </w:rPr>
          <w:fldChar w:fldCharType="separate"/>
        </w:r>
        <w:r w:rsidR="00502CF8">
          <w:rPr>
            <w:noProof/>
            <w:webHidden/>
          </w:rPr>
          <w:t>15</w:t>
        </w:r>
        <w:r w:rsidR="005A3C60">
          <w:rPr>
            <w:noProof/>
            <w:webHidden/>
          </w:rPr>
          <w:fldChar w:fldCharType="end"/>
        </w:r>
      </w:hyperlink>
    </w:p>
    <w:p w:rsidR="007505BF" w:rsidRDefault="00293E8B">
      <w:pPr>
        <w:pStyle w:val="TableofFigures"/>
        <w:tabs>
          <w:tab w:val="right" w:leader="dot" w:pos="9062"/>
        </w:tabs>
        <w:rPr>
          <w:rFonts w:eastAsiaTheme="minorEastAsia"/>
          <w:noProof/>
          <w:lang w:eastAsia="sl-SI"/>
        </w:rPr>
      </w:pPr>
      <w:hyperlink w:anchor="_Toc327382772" w:history="1">
        <w:r w:rsidR="007505BF" w:rsidRPr="009F6194">
          <w:rPr>
            <w:rStyle w:val="Hyperlink"/>
            <w:noProof/>
          </w:rPr>
          <w:t>Tabela 10: Vrednosti splošnih multiplikatorjev za panogi rekreacija in zabava</w:t>
        </w:r>
        <w:r w:rsidR="007505BF">
          <w:rPr>
            <w:noProof/>
            <w:webHidden/>
          </w:rPr>
          <w:tab/>
        </w:r>
        <w:r w:rsidR="005A3C60">
          <w:rPr>
            <w:noProof/>
            <w:webHidden/>
          </w:rPr>
          <w:fldChar w:fldCharType="begin"/>
        </w:r>
        <w:r w:rsidR="007505BF">
          <w:rPr>
            <w:noProof/>
            <w:webHidden/>
          </w:rPr>
          <w:instrText xml:space="preserve"> PAGEREF _Toc327382772 \h </w:instrText>
        </w:r>
        <w:r w:rsidR="005A3C60">
          <w:rPr>
            <w:noProof/>
            <w:webHidden/>
          </w:rPr>
        </w:r>
        <w:r w:rsidR="005A3C60">
          <w:rPr>
            <w:noProof/>
            <w:webHidden/>
          </w:rPr>
          <w:fldChar w:fldCharType="separate"/>
        </w:r>
        <w:r w:rsidR="00502CF8">
          <w:rPr>
            <w:noProof/>
            <w:webHidden/>
          </w:rPr>
          <w:t>16</w:t>
        </w:r>
        <w:r w:rsidR="005A3C60">
          <w:rPr>
            <w:noProof/>
            <w:webHidden/>
          </w:rPr>
          <w:fldChar w:fldCharType="end"/>
        </w:r>
      </w:hyperlink>
    </w:p>
    <w:p w:rsidR="007505BF" w:rsidRDefault="00293E8B">
      <w:pPr>
        <w:pStyle w:val="TableofFigures"/>
        <w:tabs>
          <w:tab w:val="right" w:leader="dot" w:pos="9062"/>
        </w:tabs>
        <w:rPr>
          <w:rFonts w:eastAsiaTheme="minorEastAsia"/>
          <w:noProof/>
          <w:lang w:eastAsia="sl-SI"/>
        </w:rPr>
      </w:pPr>
      <w:hyperlink w:anchor="_Toc327382773" w:history="1">
        <w:r w:rsidR="007505BF" w:rsidRPr="009F6194">
          <w:rPr>
            <w:rStyle w:val="Hyperlink"/>
            <w:noProof/>
          </w:rPr>
          <w:t>Tabela 11: Vrednosti podjetja za panogi izračunane na podlagi različnih splošnih multiplikatorjev</w:t>
        </w:r>
        <w:r w:rsidR="007505BF">
          <w:rPr>
            <w:noProof/>
            <w:webHidden/>
          </w:rPr>
          <w:tab/>
        </w:r>
        <w:r w:rsidR="005A3C60">
          <w:rPr>
            <w:noProof/>
            <w:webHidden/>
          </w:rPr>
          <w:fldChar w:fldCharType="begin"/>
        </w:r>
        <w:r w:rsidR="007505BF">
          <w:rPr>
            <w:noProof/>
            <w:webHidden/>
          </w:rPr>
          <w:instrText xml:space="preserve"> PAGEREF _Toc327382773 \h </w:instrText>
        </w:r>
        <w:r w:rsidR="005A3C60">
          <w:rPr>
            <w:noProof/>
            <w:webHidden/>
          </w:rPr>
        </w:r>
        <w:r w:rsidR="005A3C60">
          <w:rPr>
            <w:noProof/>
            <w:webHidden/>
          </w:rPr>
          <w:fldChar w:fldCharType="separate"/>
        </w:r>
        <w:r w:rsidR="00502CF8">
          <w:rPr>
            <w:noProof/>
            <w:webHidden/>
          </w:rPr>
          <w:t>16</w:t>
        </w:r>
        <w:r w:rsidR="005A3C60">
          <w:rPr>
            <w:noProof/>
            <w:webHidden/>
          </w:rPr>
          <w:fldChar w:fldCharType="end"/>
        </w:r>
      </w:hyperlink>
    </w:p>
    <w:p w:rsidR="007505BF" w:rsidRDefault="00293E8B">
      <w:pPr>
        <w:pStyle w:val="TableofFigures"/>
        <w:tabs>
          <w:tab w:val="right" w:leader="dot" w:pos="9062"/>
        </w:tabs>
        <w:rPr>
          <w:rFonts w:eastAsiaTheme="minorEastAsia"/>
          <w:noProof/>
          <w:lang w:eastAsia="sl-SI"/>
        </w:rPr>
      </w:pPr>
      <w:hyperlink w:anchor="_Toc327382774" w:history="1">
        <w:r w:rsidR="007505BF" w:rsidRPr="009F6194">
          <w:rPr>
            <w:rStyle w:val="Hyperlink"/>
            <w:noProof/>
          </w:rPr>
          <w:t>Tabela 12: Izračun vrednosti podjetja brez upoštevanega kazalnika EV/SALES</w:t>
        </w:r>
        <w:r w:rsidR="007505BF">
          <w:rPr>
            <w:noProof/>
            <w:webHidden/>
          </w:rPr>
          <w:tab/>
        </w:r>
        <w:r w:rsidR="005A3C60">
          <w:rPr>
            <w:noProof/>
            <w:webHidden/>
          </w:rPr>
          <w:fldChar w:fldCharType="begin"/>
        </w:r>
        <w:r w:rsidR="007505BF">
          <w:rPr>
            <w:noProof/>
            <w:webHidden/>
          </w:rPr>
          <w:instrText xml:space="preserve"> PAGEREF _Toc327382774 \h </w:instrText>
        </w:r>
        <w:r w:rsidR="005A3C60">
          <w:rPr>
            <w:noProof/>
            <w:webHidden/>
          </w:rPr>
        </w:r>
        <w:r w:rsidR="005A3C60">
          <w:rPr>
            <w:noProof/>
            <w:webHidden/>
          </w:rPr>
          <w:fldChar w:fldCharType="separate"/>
        </w:r>
        <w:r w:rsidR="00502CF8">
          <w:rPr>
            <w:noProof/>
            <w:webHidden/>
          </w:rPr>
          <w:t>17</w:t>
        </w:r>
        <w:r w:rsidR="005A3C60">
          <w:rPr>
            <w:noProof/>
            <w:webHidden/>
          </w:rPr>
          <w:fldChar w:fldCharType="end"/>
        </w:r>
      </w:hyperlink>
    </w:p>
    <w:p w:rsidR="007505BF" w:rsidRDefault="00293E8B">
      <w:pPr>
        <w:pStyle w:val="TableofFigures"/>
        <w:tabs>
          <w:tab w:val="right" w:leader="dot" w:pos="9062"/>
        </w:tabs>
        <w:rPr>
          <w:rFonts w:eastAsiaTheme="minorEastAsia"/>
          <w:noProof/>
          <w:lang w:eastAsia="sl-SI"/>
        </w:rPr>
      </w:pPr>
      <w:hyperlink w:anchor="_Toc327382775" w:history="1">
        <w:r w:rsidR="007505BF" w:rsidRPr="009F6194">
          <w:rPr>
            <w:rStyle w:val="Hyperlink"/>
            <w:noProof/>
          </w:rPr>
          <w:t>Tabela 13: Izračun povprečne vrednosti podjetja na podlagi spremenjenega kazalca EV/SALES</w:t>
        </w:r>
        <w:r w:rsidR="007505BF">
          <w:rPr>
            <w:noProof/>
            <w:webHidden/>
          </w:rPr>
          <w:tab/>
        </w:r>
        <w:r w:rsidR="005A3C60">
          <w:rPr>
            <w:noProof/>
            <w:webHidden/>
          </w:rPr>
          <w:fldChar w:fldCharType="begin"/>
        </w:r>
        <w:r w:rsidR="007505BF">
          <w:rPr>
            <w:noProof/>
            <w:webHidden/>
          </w:rPr>
          <w:instrText xml:space="preserve"> PAGEREF _Toc327382775 \h </w:instrText>
        </w:r>
        <w:r w:rsidR="005A3C60">
          <w:rPr>
            <w:noProof/>
            <w:webHidden/>
          </w:rPr>
        </w:r>
        <w:r w:rsidR="005A3C60">
          <w:rPr>
            <w:noProof/>
            <w:webHidden/>
          </w:rPr>
          <w:fldChar w:fldCharType="separate"/>
        </w:r>
        <w:r w:rsidR="00502CF8">
          <w:rPr>
            <w:noProof/>
            <w:webHidden/>
          </w:rPr>
          <w:t>17</w:t>
        </w:r>
        <w:r w:rsidR="005A3C60">
          <w:rPr>
            <w:noProof/>
            <w:webHidden/>
          </w:rPr>
          <w:fldChar w:fldCharType="end"/>
        </w:r>
      </w:hyperlink>
    </w:p>
    <w:p w:rsidR="007505BF" w:rsidRDefault="00293E8B">
      <w:pPr>
        <w:pStyle w:val="TableofFigures"/>
        <w:tabs>
          <w:tab w:val="right" w:leader="dot" w:pos="9062"/>
        </w:tabs>
        <w:rPr>
          <w:rFonts w:eastAsiaTheme="minorEastAsia"/>
          <w:noProof/>
          <w:lang w:eastAsia="sl-SI"/>
        </w:rPr>
      </w:pPr>
      <w:hyperlink w:anchor="_Toc327382776" w:history="1">
        <w:r w:rsidR="007505BF" w:rsidRPr="009F6194">
          <w:rPr>
            <w:rStyle w:val="Hyperlink"/>
            <w:noProof/>
          </w:rPr>
          <w:t>Tabela 14: Vrednosti multiplikatorjev in podjetja za panogo luksuznih proizvodov</w:t>
        </w:r>
        <w:r w:rsidR="007505BF">
          <w:rPr>
            <w:noProof/>
            <w:webHidden/>
          </w:rPr>
          <w:tab/>
        </w:r>
        <w:r w:rsidR="005A3C60">
          <w:rPr>
            <w:noProof/>
            <w:webHidden/>
          </w:rPr>
          <w:fldChar w:fldCharType="begin"/>
        </w:r>
        <w:r w:rsidR="007505BF">
          <w:rPr>
            <w:noProof/>
            <w:webHidden/>
          </w:rPr>
          <w:instrText xml:space="preserve"> PAGEREF _Toc327382776 \h </w:instrText>
        </w:r>
        <w:r w:rsidR="005A3C60">
          <w:rPr>
            <w:noProof/>
            <w:webHidden/>
          </w:rPr>
        </w:r>
        <w:r w:rsidR="005A3C60">
          <w:rPr>
            <w:noProof/>
            <w:webHidden/>
          </w:rPr>
          <w:fldChar w:fldCharType="separate"/>
        </w:r>
        <w:r w:rsidR="00502CF8">
          <w:rPr>
            <w:noProof/>
            <w:webHidden/>
          </w:rPr>
          <w:t>18</w:t>
        </w:r>
        <w:r w:rsidR="005A3C60">
          <w:rPr>
            <w:noProof/>
            <w:webHidden/>
          </w:rPr>
          <w:fldChar w:fldCharType="end"/>
        </w:r>
      </w:hyperlink>
    </w:p>
    <w:p w:rsidR="007505BF" w:rsidRDefault="00293E8B">
      <w:pPr>
        <w:pStyle w:val="TableofFigures"/>
        <w:tabs>
          <w:tab w:val="right" w:leader="dot" w:pos="9062"/>
        </w:tabs>
        <w:rPr>
          <w:rFonts w:eastAsiaTheme="minorEastAsia"/>
          <w:noProof/>
          <w:lang w:eastAsia="sl-SI"/>
        </w:rPr>
      </w:pPr>
      <w:hyperlink w:anchor="_Toc327382777" w:history="1">
        <w:r w:rsidR="007505BF" w:rsidRPr="009F6194">
          <w:rPr>
            <w:rStyle w:val="Hyperlink"/>
            <w:noProof/>
          </w:rPr>
          <w:t>Tabela 15: Izračun povprečne vrednosti lastniškega kapitala s pomočjo multiplikatorja</w:t>
        </w:r>
        <w:r w:rsidR="007505BF">
          <w:rPr>
            <w:noProof/>
            <w:webHidden/>
          </w:rPr>
          <w:tab/>
        </w:r>
        <w:r w:rsidR="005A3C60">
          <w:rPr>
            <w:noProof/>
            <w:webHidden/>
          </w:rPr>
          <w:fldChar w:fldCharType="begin"/>
        </w:r>
        <w:r w:rsidR="007505BF">
          <w:rPr>
            <w:noProof/>
            <w:webHidden/>
          </w:rPr>
          <w:instrText xml:space="preserve"> PAGEREF _Toc327382777 \h </w:instrText>
        </w:r>
        <w:r w:rsidR="005A3C60">
          <w:rPr>
            <w:noProof/>
            <w:webHidden/>
          </w:rPr>
        </w:r>
        <w:r w:rsidR="005A3C60">
          <w:rPr>
            <w:noProof/>
            <w:webHidden/>
          </w:rPr>
          <w:fldChar w:fldCharType="separate"/>
        </w:r>
        <w:r w:rsidR="00502CF8">
          <w:rPr>
            <w:noProof/>
            <w:webHidden/>
          </w:rPr>
          <w:t>19</w:t>
        </w:r>
        <w:r w:rsidR="005A3C60">
          <w:rPr>
            <w:noProof/>
            <w:webHidden/>
          </w:rPr>
          <w:fldChar w:fldCharType="end"/>
        </w:r>
      </w:hyperlink>
    </w:p>
    <w:p w:rsidR="007505BF" w:rsidRDefault="00293E8B">
      <w:pPr>
        <w:pStyle w:val="TableofFigures"/>
        <w:tabs>
          <w:tab w:val="right" w:leader="dot" w:pos="9062"/>
        </w:tabs>
        <w:rPr>
          <w:rFonts w:eastAsiaTheme="minorEastAsia"/>
          <w:noProof/>
          <w:lang w:eastAsia="sl-SI"/>
        </w:rPr>
      </w:pPr>
      <w:hyperlink w:anchor="_Toc327382778" w:history="1">
        <w:r w:rsidR="007505BF" w:rsidRPr="009F6194">
          <w:rPr>
            <w:rStyle w:val="Hyperlink"/>
            <w:noProof/>
          </w:rPr>
          <w:t>Tabela 16: Povprečna vrednost lastniškega kapitala po vseh metodah</w:t>
        </w:r>
        <w:r w:rsidR="007505BF">
          <w:rPr>
            <w:noProof/>
            <w:webHidden/>
          </w:rPr>
          <w:tab/>
        </w:r>
        <w:r w:rsidR="005A3C60">
          <w:rPr>
            <w:noProof/>
            <w:webHidden/>
          </w:rPr>
          <w:fldChar w:fldCharType="begin"/>
        </w:r>
        <w:r w:rsidR="007505BF">
          <w:rPr>
            <w:noProof/>
            <w:webHidden/>
          </w:rPr>
          <w:instrText xml:space="preserve"> PAGEREF _Toc327382778 \h </w:instrText>
        </w:r>
        <w:r w:rsidR="005A3C60">
          <w:rPr>
            <w:noProof/>
            <w:webHidden/>
          </w:rPr>
        </w:r>
        <w:r w:rsidR="005A3C60">
          <w:rPr>
            <w:noProof/>
            <w:webHidden/>
          </w:rPr>
          <w:fldChar w:fldCharType="separate"/>
        </w:r>
        <w:r w:rsidR="00502CF8">
          <w:rPr>
            <w:noProof/>
            <w:webHidden/>
          </w:rPr>
          <w:t>19</w:t>
        </w:r>
        <w:r w:rsidR="005A3C60">
          <w:rPr>
            <w:noProof/>
            <w:webHidden/>
          </w:rPr>
          <w:fldChar w:fldCharType="end"/>
        </w:r>
      </w:hyperlink>
    </w:p>
    <w:p w:rsidR="00504760" w:rsidRDefault="005A3C60" w:rsidP="003B6B77">
      <w:pPr>
        <w:pStyle w:val="Heading1"/>
        <w:spacing w:before="0" w:after="120"/>
      </w:pPr>
      <w:r>
        <w:fldChar w:fldCharType="end"/>
      </w:r>
    </w:p>
    <w:p w:rsidR="00152347" w:rsidRDefault="00DD3062" w:rsidP="00152347">
      <w:pPr>
        <w:rPr>
          <w:rFonts w:asciiTheme="majorHAnsi" w:hAnsiTheme="majorHAnsi" w:cstheme="minorHAnsi"/>
          <w:b/>
          <w:color w:val="1F497D" w:themeColor="text2"/>
          <w:sz w:val="28"/>
        </w:rPr>
      </w:pPr>
      <w:r>
        <w:rPr>
          <w:rFonts w:asciiTheme="majorHAnsi" w:hAnsiTheme="majorHAnsi" w:cstheme="minorHAnsi"/>
          <w:b/>
          <w:color w:val="1F497D" w:themeColor="text2"/>
          <w:sz w:val="28"/>
        </w:rPr>
        <w:t>Pri</w:t>
      </w:r>
      <w:r w:rsidR="00152347">
        <w:rPr>
          <w:rFonts w:asciiTheme="majorHAnsi" w:hAnsiTheme="majorHAnsi" w:cstheme="minorHAnsi"/>
          <w:b/>
          <w:color w:val="1F497D" w:themeColor="text2"/>
          <w:sz w:val="28"/>
        </w:rPr>
        <w:t>loge</w:t>
      </w:r>
    </w:p>
    <w:p w:rsidR="00152347" w:rsidRPr="00152347" w:rsidRDefault="00152347" w:rsidP="00152347">
      <w:pPr>
        <w:pStyle w:val="ListParagraph"/>
        <w:numPr>
          <w:ilvl w:val="0"/>
          <w:numId w:val="7"/>
        </w:numPr>
        <w:rPr>
          <w:rFonts w:cstheme="minorHAnsi"/>
          <w:sz w:val="24"/>
        </w:rPr>
      </w:pPr>
      <w:r w:rsidRPr="00152347">
        <w:rPr>
          <w:rFonts w:cstheme="minorHAnsi"/>
          <w:sz w:val="24"/>
        </w:rPr>
        <w:t>Konsolidiran izkaz poslovnega izida (2010</w:t>
      </w:r>
      <w:r>
        <w:rPr>
          <w:rFonts w:cstheme="minorHAnsi"/>
          <w:sz w:val="24"/>
        </w:rPr>
        <w:t xml:space="preserve"> in 2009</w:t>
      </w:r>
      <w:r w:rsidRPr="00152347">
        <w:rPr>
          <w:rFonts w:cstheme="minorHAnsi"/>
          <w:sz w:val="24"/>
        </w:rPr>
        <w:t>)</w:t>
      </w:r>
    </w:p>
    <w:p w:rsidR="00152347" w:rsidRPr="00152347" w:rsidRDefault="00152347" w:rsidP="00152347">
      <w:pPr>
        <w:pStyle w:val="ListParagraph"/>
        <w:numPr>
          <w:ilvl w:val="0"/>
          <w:numId w:val="7"/>
        </w:numPr>
        <w:rPr>
          <w:rFonts w:cstheme="minorHAnsi"/>
          <w:sz w:val="24"/>
        </w:rPr>
      </w:pPr>
      <w:r w:rsidRPr="00152347">
        <w:rPr>
          <w:rFonts w:cstheme="minorHAnsi"/>
          <w:sz w:val="24"/>
        </w:rPr>
        <w:t>Konsolidiran izkaz drugega vseobsegajočega poslovnega izida</w:t>
      </w:r>
      <w:r>
        <w:rPr>
          <w:rFonts w:cstheme="minorHAnsi"/>
          <w:sz w:val="24"/>
        </w:rPr>
        <w:t xml:space="preserve"> (2010 in 2009)</w:t>
      </w:r>
    </w:p>
    <w:p w:rsidR="00152347" w:rsidRDefault="00152347" w:rsidP="00152347">
      <w:pPr>
        <w:pStyle w:val="ListParagraph"/>
        <w:numPr>
          <w:ilvl w:val="0"/>
          <w:numId w:val="7"/>
        </w:numPr>
        <w:rPr>
          <w:rFonts w:cstheme="minorHAnsi"/>
          <w:sz w:val="24"/>
        </w:rPr>
      </w:pPr>
      <w:r w:rsidRPr="00152347">
        <w:rPr>
          <w:rFonts w:cstheme="minorHAnsi"/>
          <w:sz w:val="24"/>
        </w:rPr>
        <w:t>Konsolidirana bilanca stanja (2010)</w:t>
      </w:r>
    </w:p>
    <w:p w:rsidR="00152347" w:rsidRDefault="00152347" w:rsidP="00152347">
      <w:pPr>
        <w:pStyle w:val="ListParagraph"/>
        <w:numPr>
          <w:ilvl w:val="0"/>
          <w:numId w:val="7"/>
        </w:numPr>
        <w:rPr>
          <w:rFonts w:cstheme="minorHAnsi"/>
          <w:sz w:val="24"/>
        </w:rPr>
      </w:pPr>
      <w:r>
        <w:rPr>
          <w:rFonts w:cstheme="minorHAnsi"/>
          <w:sz w:val="24"/>
        </w:rPr>
        <w:t>Konsolidiran izkaz gibanja kapitala (2010 in 2009)</w:t>
      </w:r>
    </w:p>
    <w:p w:rsidR="00152347" w:rsidRDefault="00152347" w:rsidP="00152347">
      <w:pPr>
        <w:pStyle w:val="ListParagraph"/>
        <w:numPr>
          <w:ilvl w:val="0"/>
          <w:numId w:val="7"/>
        </w:numPr>
        <w:rPr>
          <w:rFonts w:cstheme="minorHAnsi"/>
          <w:sz w:val="24"/>
        </w:rPr>
      </w:pPr>
      <w:r>
        <w:rPr>
          <w:rFonts w:cstheme="minorHAnsi"/>
          <w:sz w:val="24"/>
        </w:rPr>
        <w:t>Konsolidiran izkaz denarnih tokov (2010 in 2009)</w:t>
      </w:r>
    </w:p>
    <w:p w:rsidR="008C1DB9" w:rsidRPr="00152347" w:rsidRDefault="008C1DB9" w:rsidP="00152347">
      <w:pPr>
        <w:pStyle w:val="ListParagraph"/>
        <w:numPr>
          <w:ilvl w:val="0"/>
          <w:numId w:val="7"/>
        </w:numPr>
        <w:rPr>
          <w:rFonts w:cstheme="minorHAnsi"/>
          <w:sz w:val="24"/>
        </w:rPr>
      </w:pPr>
      <w:r>
        <w:rPr>
          <w:rFonts w:cstheme="minorHAnsi"/>
          <w:sz w:val="24"/>
        </w:rPr>
        <w:t>Excelova tabela z izračuni</w:t>
      </w:r>
    </w:p>
    <w:p w:rsidR="00504760" w:rsidRDefault="00504760" w:rsidP="003B6B77">
      <w:pPr>
        <w:pStyle w:val="Heading1"/>
        <w:spacing w:before="0" w:after="120"/>
      </w:pPr>
    </w:p>
    <w:p w:rsidR="00504760" w:rsidRDefault="00504760" w:rsidP="003B6B77">
      <w:pPr>
        <w:pStyle w:val="Heading1"/>
        <w:spacing w:before="0" w:after="120"/>
      </w:pPr>
    </w:p>
    <w:p w:rsidR="00504760" w:rsidRDefault="00504760" w:rsidP="00504760"/>
    <w:p w:rsidR="00504760" w:rsidRDefault="00504760" w:rsidP="00504760"/>
    <w:p w:rsidR="00504760" w:rsidRDefault="00504760" w:rsidP="00504760"/>
    <w:p w:rsidR="00273D8E" w:rsidRDefault="00273D8E" w:rsidP="00504760">
      <w:pPr>
        <w:sectPr w:rsidR="00273D8E" w:rsidSect="00273D8E">
          <w:footerReference w:type="default" r:id="rId11"/>
          <w:pgSz w:w="11906" w:h="16838"/>
          <w:pgMar w:top="1417" w:right="1417" w:bottom="1417" w:left="1417" w:header="708" w:footer="708" w:gutter="0"/>
          <w:pgNumType w:fmt="lowerRoman" w:start="1"/>
          <w:cols w:space="708"/>
          <w:docGrid w:linePitch="360"/>
        </w:sectPr>
      </w:pPr>
    </w:p>
    <w:p w:rsidR="003B6B77" w:rsidRPr="00A41085" w:rsidRDefault="003B6B77" w:rsidP="003B6B77">
      <w:pPr>
        <w:pStyle w:val="Heading1"/>
        <w:spacing w:before="0" w:after="120"/>
      </w:pPr>
      <w:bookmarkStart w:id="1" w:name="_Toc327382743"/>
      <w:r>
        <w:lastRenderedPageBreak/>
        <w:t>UVOD</w:t>
      </w:r>
      <w:bookmarkEnd w:id="1"/>
    </w:p>
    <w:p w:rsidR="003B6B77" w:rsidRPr="00A41085" w:rsidRDefault="003B6B77" w:rsidP="003B6B77">
      <w:pPr>
        <w:spacing w:line="360" w:lineRule="auto"/>
        <w:jc w:val="both"/>
        <w:rPr>
          <w:rFonts w:ascii="Times New Roman" w:hAnsi="Times New Roman" w:cs="Times New Roman"/>
          <w:sz w:val="24"/>
          <w:szCs w:val="24"/>
        </w:rPr>
      </w:pPr>
      <w:r w:rsidRPr="00A41085">
        <w:rPr>
          <w:rFonts w:ascii="Times New Roman" w:hAnsi="Times New Roman" w:cs="Times New Roman"/>
          <w:sz w:val="24"/>
          <w:szCs w:val="24"/>
        </w:rPr>
        <w:t>Finančne odločitve nas spremljajo vsakodnevno. Nekatere so  preproste in razumljive, spet druge so zahtevne in zahtevajo določeno znanje in izkušnje. Predvsem pa so finančne odločitve pomembne za vlagatelje v vrednostne papirje in  podjetja. Potrebno je presoditi ali se naložba v neko podjetje ali vrednostni papir splača ali ne. Zato pa je potrebno vrednotiti podjetje in na ta način ugotoviti ceno delnice ali ceno lastniškega kapitala podjetja. Na podlagi celovite analize podjetja se potem vlagatelji odločijo ali se naložba splača ali ne. Celovita finančna analiza je zelo kompleksna, zato jo uporabljajo predvsem finančni strokovnjaki. Za individualne vlagatelje pa so na razpolago finančne analize, ki jih pripravijo finančni analitiki in nato služijo kot pomoč za vrednotenje naložb na trgu.</w:t>
      </w:r>
    </w:p>
    <w:p w:rsidR="003B6B77" w:rsidRPr="00A41085" w:rsidRDefault="003B6B77" w:rsidP="003B6B77">
      <w:pPr>
        <w:spacing w:line="360" w:lineRule="auto"/>
        <w:jc w:val="both"/>
        <w:rPr>
          <w:rFonts w:ascii="Times New Roman" w:hAnsi="Times New Roman" w:cs="Times New Roman"/>
          <w:sz w:val="24"/>
          <w:szCs w:val="24"/>
        </w:rPr>
      </w:pPr>
      <w:r w:rsidRPr="00A41085">
        <w:rPr>
          <w:rFonts w:ascii="Times New Roman" w:hAnsi="Times New Roman" w:cs="Times New Roman"/>
          <w:sz w:val="24"/>
          <w:szCs w:val="24"/>
        </w:rPr>
        <w:t xml:space="preserve">Namen seminarske naloge je vrednotiti SAM. Ker gre za družbo z omejeno odgovornostjo bomo v seminarski nalogi izračunali vrednost celotnega lastniškega kapitala na tri načine. Ti načini so metoda diskontiranih denarnih tokov, dividendno diskontni model in model </w:t>
      </w:r>
      <w:proofErr w:type="spellStart"/>
      <w:r w:rsidRPr="00A41085">
        <w:rPr>
          <w:rFonts w:ascii="Times New Roman" w:hAnsi="Times New Roman" w:cs="Times New Roman"/>
          <w:sz w:val="24"/>
          <w:szCs w:val="24"/>
        </w:rPr>
        <w:t>multiplikatorja</w:t>
      </w:r>
      <w:proofErr w:type="spellEnd"/>
      <w:r w:rsidRPr="00A41085">
        <w:rPr>
          <w:rFonts w:ascii="Times New Roman" w:hAnsi="Times New Roman" w:cs="Times New Roman"/>
          <w:sz w:val="24"/>
          <w:szCs w:val="24"/>
        </w:rPr>
        <w:t>. V seminarski nalogi bomo opisali vse tri metode vrednotenja na primeru SAM. Navedli bomo tudi vse vire iz katerih smo pridobili potrebne podatke za izračun vrednosti lastniškega kapitala. Pri metodi diskontiranih denarnih tokov in pri dividendno diskontnem modelu bomo naredili tudi analizo občutljivosti glede na spreminjanje stopnje donosa in dolgoročne stopnje rasti. Za konec seminarske naloge pa bomo izračunali še povprečno vrednost lastniškega kapitala podjetje glede na vse metode vrednotenja.</w:t>
      </w:r>
    </w:p>
    <w:p w:rsidR="003B6B77" w:rsidRPr="003B6B77" w:rsidRDefault="003B6B77" w:rsidP="003B6B77">
      <w:pPr>
        <w:spacing w:line="360" w:lineRule="auto"/>
        <w:jc w:val="both"/>
        <w:rPr>
          <w:rFonts w:ascii="Times New Roman" w:hAnsi="Times New Roman" w:cs="Times New Roman"/>
          <w:sz w:val="24"/>
          <w:szCs w:val="24"/>
        </w:rPr>
      </w:pPr>
      <w:r w:rsidRPr="00A41085">
        <w:rPr>
          <w:rFonts w:ascii="Times New Roman" w:hAnsi="Times New Roman" w:cs="Times New Roman"/>
          <w:sz w:val="24"/>
          <w:szCs w:val="24"/>
        </w:rPr>
        <w:t xml:space="preserve">Vsi podatki o podjetju uporabljeni v seminarski nalogi so iz letnih poročil podjetja. Uporabljali smo letna poročila za leta 2008, 2009, 2010. Letnega poročila za leto 2011 podjetje do datuma oddaje seminarske naloge še ni javno objavilo. Preiskali smo vse možne baza v katerih bi lahko dobili letno poročilo za leto 2011. Iskali smo po portalu </w:t>
      </w:r>
      <w:proofErr w:type="spellStart"/>
      <w:r w:rsidRPr="00A41085">
        <w:rPr>
          <w:rFonts w:ascii="Times New Roman" w:hAnsi="Times New Roman" w:cs="Times New Roman"/>
          <w:sz w:val="24"/>
          <w:szCs w:val="24"/>
        </w:rPr>
        <w:t>Gvin</w:t>
      </w:r>
      <w:proofErr w:type="spellEnd"/>
      <w:r w:rsidRPr="00A41085">
        <w:rPr>
          <w:rFonts w:ascii="Times New Roman" w:hAnsi="Times New Roman" w:cs="Times New Roman"/>
          <w:sz w:val="24"/>
          <w:szCs w:val="24"/>
        </w:rPr>
        <w:t xml:space="preserve">, na spletni strani skupine Adria </w:t>
      </w:r>
      <w:proofErr w:type="spellStart"/>
      <w:r w:rsidRPr="00A41085">
        <w:rPr>
          <w:rFonts w:ascii="Times New Roman" w:hAnsi="Times New Roman" w:cs="Times New Roman"/>
          <w:sz w:val="24"/>
          <w:szCs w:val="24"/>
        </w:rPr>
        <w:t>Mobil</w:t>
      </w:r>
      <w:proofErr w:type="spellEnd"/>
      <w:r w:rsidRPr="00A41085">
        <w:rPr>
          <w:rFonts w:ascii="Times New Roman" w:hAnsi="Times New Roman" w:cs="Times New Roman"/>
          <w:sz w:val="24"/>
          <w:szCs w:val="24"/>
        </w:rPr>
        <w:t xml:space="preserve">, po spletni strani </w:t>
      </w:r>
      <w:proofErr w:type="spellStart"/>
      <w:r w:rsidRPr="00A41085">
        <w:rPr>
          <w:rFonts w:ascii="Times New Roman" w:hAnsi="Times New Roman" w:cs="Times New Roman"/>
          <w:sz w:val="24"/>
          <w:szCs w:val="24"/>
        </w:rPr>
        <w:t>SeoNeta</w:t>
      </w:r>
      <w:proofErr w:type="spellEnd"/>
      <w:r w:rsidRPr="00A41085">
        <w:rPr>
          <w:rFonts w:ascii="Times New Roman" w:hAnsi="Times New Roman" w:cs="Times New Roman"/>
          <w:sz w:val="24"/>
          <w:szCs w:val="24"/>
        </w:rPr>
        <w:t xml:space="preserve"> in </w:t>
      </w:r>
      <w:proofErr w:type="spellStart"/>
      <w:r w:rsidRPr="00A41085">
        <w:rPr>
          <w:rFonts w:ascii="Times New Roman" w:hAnsi="Times New Roman" w:cs="Times New Roman"/>
          <w:sz w:val="24"/>
          <w:szCs w:val="24"/>
        </w:rPr>
        <w:t>Ajpesa</w:t>
      </w:r>
      <w:proofErr w:type="spellEnd"/>
      <w:r w:rsidRPr="00A41085">
        <w:rPr>
          <w:rFonts w:ascii="Times New Roman" w:hAnsi="Times New Roman" w:cs="Times New Roman"/>
          <w:sz w:val="24"/>
          <w:szCs w:val="24"/>
        </w:rPr>
        <w:t xml:space="preserve">.   </w:t>
      </w:r>
    </w:p>
    <w:p w:rsidR="00B42BF6" w:rsidRDefault="00B42BF6" w:rsidP="00B5035F">
      <w:pPr>
        <w:pStyle w:val="Heading1"/>
        <w:spacing w:before="0" w:after="120"/>
      </w:pPr>
    </w:p>
    <w:p w:rsidR="00B42BF6" w:rsidRDefault="00B42BF6" w:rsidP="00B5035F">
      <w:pPr>
        <w:pStyle w:val="Heading1"/>
        <w:spacing w:before="0" w:after="120"/>
      </w:pPr>
    </w:p>
    <w:p w:rsidR="00B42BF6" w:rsidRDefault="00B42BF6" w:rsidP="00B5035F">
      <w:pPr>
        <w:pStyle w:val="Heading1"/>
        <w:spacing w:before="0" w:after="120"/>
      </w:pPr>
    </w:p>
    <w:p w:rsidR="00B42BF6" w:rsidRDefault="00B42BF6" w:rsidP="00B42BF6"/>
    <w:p w:rsidR="00B42BF6" w:rsidRPr="00B42BF6" w:rsidRDefault="00B42BF6" w:rsidP="00B42BF6"/>
    <w:p w:rsidR="00D54C12" w:rsidRDefault="00D54C12" w:rsidP="00E7690F">
      <w:pPr>
        <w:pStyle w:val="Heading1"/>
        <w:numPr>
          <w:ilvl w:val="0"/>
          <w:numId w:val="3"/>
        </w:numPr>
        <w:spacing w:before="0" w:after="120"/>
      </w:pPr>
      <w:bookmarkStart w:id="2" w:name="_Toc327382744"/>
      <w:r>
        <w:lastRenderedPageBreak/>
        <w:t>METODA DISKONTIRANIH DENARNIH TOKOV</w:t>
      </w:r>
      <w:bookmarkEnd w:id="2"/>
    </w:p>
    <w:p w:rsidR="00D54C12" w:rsidRPr="001A67DA" w:rsidRDefault="00D54C12" w:rsidP="001A67DA">
      <w:pPr>
        <w:spacing w:line="360" w:lineRule="auto"/>
        <w:jc w:val="both"/>
        <w:rPr>
          <w:rFonts w:ascii="Times New Roman" w:hAnsi="Times New Roman" w:cs="Times New Roman"/>
          <w:sz w:val="24"/>
        </w:rPr>
      </w:pPr>
      <w:r w:rsidRPr="001A67DA">
        <w:rPr>
          <w:rFonts w:ascii="Times New Roman" w:hAnsi="Times New Roman" w:cs="Times New Roman"/>
          <w:sz w:val="24"/>
        </w:rPr>
        <w:t>Kot temeljno metodo vrednotenja podjetja in lastniškega kapitala smo vzeli metodo diskontiranih denarnih tokov (DCF)</w:t>
      </w:r>
      <w:r w:rsidR="000C109F" w:rsidRPr="001A67DA">
        <w:rPr>
          <w:rFonts w:ascii="Times New Roman" w:hAnsi="Times New Roman" w:cs="Times New Roman"/>
          <w:sz w:val="24"/>
        </w:rPr>
        <w:t xml:space="preserve">. Njena bistvena značilnost je, da poskušamo natančneje napovedati vrednost denarnih tokov podjetja nekaj naslednjih let nato pa v </w:t>
      </w:r>
      <w:r w:rsidR="00142300" w:rsidRPr="001A67DA">
        <w:rPr>
          <w:rFonts w:ascii="Times New Roman" w:hAnsi="Times New Roman" w:cs="Times New Roman"/>
          <w:sz w:val="24"/>
        </w:rPr>
        <w:t>nadaljnje</w:t>
      </w:r>
      <w:r w:rsidR="000C109F" w:rsidRPr="001A67DA">
        <w:rPr>
          <w:rFonts w:ascii="Times New Roman" w:hAnsi="Times New Roman" w:cs="Times New Roman"/>
          <w:sz w:val="24"/>
        </w:rPr>
        <w:t xml:space="preserve"> uporabimo neko zmerno stopnjo rasti.</w:t>
      </w:r>
      <w:r w:rsidR="00AA085E" w:rsidRPr="001A67DA">
        <w:rPr>
          <w:rFonts w:ascii="Times New Roman" w:hAnsi="Times New Roman" w:cs="Times New Roman"/>
          <w:sz w:val="24"/>
        </w:rPr>
        <w:t xml:space="preserve"> V tem poglavju predstavljamo postopne korake v izračune končne vrednosti podjetja in kapitala. Koraki so oblikovani na podlagi formule, ki zahteva 3 ključne podatke. To so prosti denarni tok, stopnja rasti in strošek kapitala – WACC. Pri izračuna vsakega izmed teh kazalcev so razloženi viri podatkov, problemi in našo razmišljanje glede določanja vrednosti. </w:t>
      </w:r>
    </w:p>
    <w:p w:rsidR="001328F7" w:rsidRPr="001328F7" w:rsidRDefault="001328F7" w:rsidP="00E7690F">
      <w:pPr>
        <w:pStyle w:val="Heading2"/>
        <w:numPr>
          <w:ilvl w:val="1"/>
          <w:numId w:val="3"/>
        </w:numPr>
        <w:spacing w:before="0" w:after="120"/>
      </w:pPr>
      <w:bookmarkStart w:id="3" w:name="_Toc327382745"/>
      <w:r w:rsidRPr="001328F7">
        <w:t>PROSTI DENARNI TOK</w:t>
      </w:r>
      <w:r>
        <w:t xml:space="preserve"> (FCFF)</w:t>
      </w:r>
      <w:bookmarkEnd w:id="3"/>
    </w:p>
    <w:p w:rsidR="00D54C12" w:rsidRPr="001A67DA" w:rsidRDefault="001328F7" w:rsidP="00C36100">
      <w:pPr>
        <w:spacing w:after="120" w:line="360" w:lineRule="auto"/>
        <w:jc w:val="both"/>
        <w:rPr>
          <w:rFonts w:ascii="Times New Roman" w:hAnsi="Times New Roman" w:cs="Times New Roman"/>
          <w:sz w:val="24"/>
        </w:rPr>
      </w:pPr>
      <w:r w:rsidRPr="001A67DA">
        <w:rPr>
          <w:rFonts w:ascii="Times New Roman" w:hAnsi="Times New Roman" w:cs="Times New Roman"/>
          <w:sz w:val="24"/>
        </w:rPr>
        <w:t>Ugotavljanje denarnega toka zahteva dobro poznava</w:t>
      </w:r>
      <w:r w:rsidR="00BF69FC" w:rsidRPr="001A67DA">
        <w:rPr>
          <w:rFonts w:ascii="Times New Roman" w:hAnsi="Times New Roman" w:cs="Times New Roman"/>
          <w:sz w:val="24"/>
        </w:rPr>
        <w:t>nje poslovnega modela, pr</w:t>
      </w:r>
      <w:r w:rsidRPr="001A67DA">
        <w:rPr>
          <w:rFonts w:ascii="Times New Roman" w:hAnsi="Times New Roman" w:cs="Times New Roman"/>
          <w:sz w:val="24"/>
        </w:rPr>
        <w:t>e</w:t>
      </w:r>
      <w:r w:rsidR="00BF69FC" w:rsidRPr="001A67DA">
        <w:rPr>
          <w:rFonts w:ascii="Times New Roman" w:hAnsi="Times New Roman" w:cs="Times New Roman"/>
          <w:sz w:val="24"/>
        </w:rPr>
        <w:t>te</w:t>
      </w:r>
      <w:r w:rsidRPr="001A67DA">
        <w:rPr>
          <w:rFonts w:ascii="Times New Roman" w:hAnsi="Times New Roman" w:cs="Times New Roman"/>
          <w:sz w:val="24"/>
        </w:rPr>
        <w:t>klega poslovanja in trendov, ki sledijo v prihodnjih letih. FCFF smo ocenjevali za naslednjih 5 let, v katero je vključeno tudi ocenjevanje FCFF-ja za let</w:t>
      </w:r>
      <w:r w:rsidR="00BF69FC" w:rsidRPr="001A67DA">
        <w:rPr>
          <w:rFonts w:ascii="Times New Roman" w:hAnsi="Times New Roman" w:cs="Times New Roman"/>
          <w:sz w:val="24"/>
        </w:rPr>
        <w:t>o 2011, saj na žalost podatki za</w:t>
      </w:r>
      <w:r w:rsidRPr="001A67DA">
        <w:rPr>
          <w:rFonts w:ascii="Times New Roman" w:hAnsi="Times New Roman" w:cs="Times New Roman"/>
          <w:sz w:val="24"/>
        </w:rPr>
        <w:t xml:space="preserve"> zadnje poslovno leto še niso na voljo. Oceno prostega denarnega toka izračunamo tako, da poslovnemu dobičku po davkih prištejemo nedenarne postavke (amortizacijo) ter odštejemo investicije v osnovna sredstva ter naložbe v obratna sredstva. Spodaj t</w:t>
      </w:r>
      <w:r w:rsidR="00844F49" w:rsidRPr="001A67DA">
        <w:rPr>
          <w:rFonts w:ascii="Times New Roman" w:hAnsi="Times New Roman" w:cs="Times New Roman"/>
          <w:sz w:val="24"/>
        </w:rPr>
        <w:t xml:space="preserve">orej razlagamo ta izračun. Pri tem smo se ravnali po </w:t>
      </w:r>
      <w:proofErr w:type="spellStart"/>
      <w:r w:rsidR="00844F49" w:rsidRPr="001A67DA">
        <w:rPr>
          <w:rFonts w:ascii="Times New Roman" w:hAnsi="Times New Roman" w:cs="Times New Roman"/>
          <w:sz w:val="24"/>
        </w:rPr>
        <w:t>excelovi</w:t>
      </w:r>
      <w:proofErr w:type="spellEnd"/>
      <w:r w:rsidR="00844F49" w:rsidRPr="001A67DA">
        <w:rPr>
          <w:rFonts w:ascii="Times New Roman" w:hAnsi="Times New Roman" w:cs="Times New Roman"/>
          <w:sz w:val="24"/>
        </w:rPr>
        <w:t xml:space="preserve"> predlogi, ki je bila podana na spletni strani predmeta.</w:t>
      </w:r>
    </w:p>
    <w:p w:rsidR="00254958" w:rsidRDefault="00254958" w:rsidP="00E7690F">
      <w:pPr>
        <w:pStyle w:val="Heading3"/>
        <w:numPr>
          <w:ilvl w:val="2"/>
          <w:numId w:val="4"/>
        </w:numPr>
        <w:spacing w:before="0" w:after="120"/>
        <w:rPr>
          <w:sz w:val="24"/>
        </w:rPr>
      </w:pPr>
      <w:bookmarkStart w:id="4" w:name="_Toc327382746"/>
      <w:r w:rsidRPr="00446A80">
        <w:rPr>
          <w:sz w:val="24"/>
        </w:rPr>
        <w:t>Investicije, amortizacija in neto investicije</w:t>
      </w:r>
      <w:bookmarkEnd w:id="4"/>
    </w:p>
    <w:p w:rsidR="00273D8E" w:rsidRPr="00273D8E" w:rsidRDefault="00273D8E" w:rsidP="00273D8E">
      <w:pPr>
        <w:pStyle w:val="Caption"/>
        <w:spacing w:after="120"/>
        <w:rPr>
          <w:b w:val="0"/>
          <w:color w:val="auto"/>
          <w:sz w:val="20"/>
        </w:rPr>
      </w:pPr>
      <w:bookmarkStart w:id="5" w:name="_Toc327382763"/>
      <w:r w:rsidRPr="00273D8E">
        <w:rPr>
          <w:b w:val="0"/>
          <w:color w:val="auto"/>
          <w:sz w:val="20"/>
        </w:rPr>
        <w:t xml:space="preserve">Tabela </w:t>
      </w:r>
      <w:r w:rsidR="005A3C60" w:rsidRPr="00273D8E">
        <w:rPr>
          <w:b w:val="0"/>
          <w:color w:val="auto"/>
          <w:sz w:val="20"/>
        </w:rPr>
        <w:fldChar w:fldCharType="begin"/>
      </w:r>
      <w:r w:rsidRPr="00273D8E">
        <w:rPr>
          <w:b w:val="0"/>
          <w:color w:val="auto"/>
          <w:sz w:val="20"/>
        </w:rPr>
        <w:instrText xml:space="preserve"> SEQ Tabela \* ARABIC </w:instrText>
      </w:r>
      <w:r w:rsidR="005A3C60" w:rsidRPr="00273D8E">
        <w:rPr>
          <w:b w:val="0"/>
          <w:color w:val="auto"/>
          <w:sz w:val="20"/>
        </w:rPr>
        <w:fldChar w:fldCharType="separate"/>
      </w:r>
      <w:r w:rsidR="00664B27">
        <w:rPr>
          <w:b w:val="0"/>
          <w:noProof/>
          <w:color w:val="auto"/>
          <w:sz w:val="20"/>
        </w:rPr>
        <w:t>1</w:t>
      </w:r>
      <w:r w:rsidR="005A3C60" w:rsidRPr="00273D8E">
        <w:rPr>
          <w:b w:val="0"/>
          <w:color w:val="auto"/>
          <w:sz w:val="20"/>
        </w:rPr>
        <w:fldChar w:fldCharType="end"/>
      </w:r>
      <w:r w:rsidRPr="00273D8E">
        <w:rPr>
          <w:b w:val="0"/>
          <w:color w:val="auto"/>
          <w:sz w:val="20"/>
        </w:rPr>
        <w:t>: Investicije, amortizacija in neto investicija</w:t>
      </w:r>
      <w:bookmarkEnd w:id="5"/>
    </w:p>
    <w:tbl>
      <w:tblPr>
        <w:tblW w:w="10501" w:type="dxa"/>
        <w:tblInd w:w="-611" w:type="dxa"/>
        <w:tblCellMar>
          <w:left w:w="70" w:type="dxa"/>
          <w:right w:w="70" w:type="dxa"/>
        </w:tblCellMar>
        <w:tblLook w:val="04A0" w:firstRow="1" w:lastRow="0" w:firstColumn="1" w:lastColumn="0" w:noHBand="0" w:noVBand="1"/>
      </w:tblPr>
      <w:tblGrid>
        <w:gridCol w:w="3233"/>
        <w:gridCol w:w="1559"/>
        <w:gridCol w:w="1559"/>
        <w:gridCol w:w="1418"/>
        <w:gridCol w:w="1417"/>
        <w:gridCol w:w="1315"/>
      </w:tblGrid>
      <w:tr w:rsidR="00D51015" w:rsidRPr="00D51015" w:rsidTr="006A1668">
        <w:trPr>
          <w:trHeight w:val="320"/>
        </w:trPr>
        <w:tc>
          <w:tcPr>
            <w:tcW w:w="3233" w:type="dxa"/>
            <w:tcBorders>
              <w:bottom w:val="single" w:sz="4" w:space="0" w:color="auto"/>
              <w:right w:val="single" w:sz="4" w:space="0" w:color="auto"/>
            </w:tcBorders>
            <w:shd w:val="clear" w:color="auto" w:fill="auto"/>
            <w:noWrap/>
            <w:vAlign w:val="bottom"/>
            <w:hideMark/>
          </w:tcPr>
          <w:p w:rsidR="00D51015" w:rsidRPr="00D51015" w:rsidRDefault="00D51015" w:rsidP="00D51015">
            <w:pPr>
              <w:spacing w:after="0" w:line="240" w:lineRule="auto"/>
              <w:rPr>
                <w:rFonts w:ascii="Arial" w:eastAsia="Times New Roman" w:hAnsi="Arial" w:cs="Arial"/>
                <w:sz w:val="20"/>
                <w:szCs w:val="20"/>
                <w:lang w:eastAsia="sl-SI"/>
              </w:rPr>
            </w:pPr>
            <w:r w:rsidRPr="00D51015">
              <w:rPr>
                <w:rFonts w:ascii="Arial" w:eastAsia="Times New Roman" w:hAnsi="Arial" w:cs="Arial"/>
                <w:sz w:val="20"/>
                <w:szCs w:val="20"/>
                <w:lang w:eastAsia="sl-SI"/>
              </w:rPr>
              <w:t> </w:t>
            </w:r>
          </w:p>
        </w:tc>
        <w:tc>
          <w:tcPr>
            <w:tcW w:w="1559"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D51015" w:rsidRPr="00D51015" w:rsidRDefault="00D51015" w:rsidP="00D51015">
            <w:pPr>
              <w:spacing w:after="0" w:line="240" w:lineRule="auto"/>
              <w:jc w:val="right"/>
              <w:rPr>
                <w:rFonts w:ascii="Arial" w:eastAsia="Times New Roman" w:hAnsi="Arial" w:cs="Arial"/>
                <w:sz w:val="20"/>
                <w:szCs w:val="20"/>
                <w:lang w:eastAsia="sl-SI"/>
              </w:rPr>
            </w:pPr>
            <w:r w:rsidRPr="00D51015">
              <w:rPr>
                <w:rFonts w:ascii="Arial" w:eastAsia="Times New Roman" w:hAnsi="Arial" w:cs="Arial"/>
                <w:sz w:val="20"/>
                <w:szCs w:val="20"/>
                <w:lang w:eastAsia="sl-SI"/>
              </w:rPr>
              <w:t>2011</w:t>
            </w:r>
          </w:p>
        </w:tc>
        <w:tc>
          <w:tcPr>
            <w:tcW w:w="1559"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D51015" w:rsidRPr="00D51015" w:rsidRDefault="00D51015" w:rsidP="00D51015">
            <w:pPr>
              <w:spacing w:after="0" w:line="240" w:lineRule="auto"/>
              <w:jc w:val="right"/>
              <w:rPr>
                <w:rFonts w:ascii="Arial" w:eastAsia="Times New Roman" w:hAnsi="Arial" w:cs="Arial"/>
                <w:sz w:val="20"/>
                <w:szCs w:val="20"/>
                <w:lang w:eastAsia="sl-SI"/>
              </w:rPr>
            </w:pPr>
            <w:r w:rsidRPr="00D51015">
              <w:rPr>
                <w:rFonts w:ascii="Arial" w:eastAsia="Times New Roman" w:hAnsi="Arial" w:cs="Arial"/>
                <w:sz w:val="20"/>
                <w:szCs w:val="20"/>
                <w:lang w:eastAsia="sl-SI"/>
              </w:rPr>
              <w:t>2012</w:t>
            </w:r>
          </w:p>
        </w:tc>
        <w:tc>
          <w:tcPr>
            <w:tcW w:w="1418"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D51015" w:rsidRPr="00D51015" w:rsidRDefault="00D51015" w:rsidP="00D51015">
            <w:pPr>
              <w:spacing w:after="0" w:line="240" w:lineRule="auto"/>
              <w:jc w:val="right"/>
              <w:rPr>
                <w:rFonts w:ascii="Arial" w:eastAsia="Times New Roman" w:hAnsi="Arial" w:cs="Arial"/>
                <w:sz w:val="20"/>
                <w:szCs w:val="20"/>
                <w:lang w:eastAsia="sl-SI"/>
              </w:rPr>
            </w:pPr>
            <w:r w:rsidRPr="00D51015">
              <w:rPr>
                <w:rFonts w:ascii="Arial" w:eastAsia="Times New Roman" w:hAnsi="Arial" w:cs="Arial"/>
                <w:sz w:val="20"/>
                <w:szCs w:val="20"/>
                <w:lang w:eastAsia="sl-SI"/>
              </w:rPr>
              <w:t>2013</w:t>
            </w:r>
          </w:p>
        </w:tc>
        <w:tc>
          <w:tcPr>
            <w:tcW w:w="1417"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D51015" w:rsidRPr="00D51015" w:rsidRDefault="00D51015" w:rsidP="00D51015">
            <w:pPr>
              <w:spacing w:after="0" w:line="240" w:lineRule="auto"/>
              <w:jc w:val="right"/>
              <w:rPr>
                <w:rFonts w:ascii="Arial" w:eastAsia="Times New Roman" w:hAnsi="Arial" w:cs="Arial"/>
                <w:sz w:val="20"/>
                <w:szCs w:val="20"/>
                <w:lang w:eastAsia="sl-SI"/>
              </w:rPr>
            </w:pPr>
            <w:r w:rsidRPr="00D51015">
              <w:rPr>
                <w:rFonts w:ascii="Arial" w:eastAsia="Times New Roman" w:hAnsi="Arial" w:cs="Arial"/>
                <w:sz w:val="20"/>
                <w:szCs w:val="20"/>
                <w:lang w:eastAsia="sl-SI"/>
              </w:rPr>
              <w:t>2014</w:t>
            </w:r>
          </w:p>
        </w:tc>
        <w:tc>
          <w:tcPr>
            <w:tcW w:w="1315" w:type="dxa"/>
            <w:tcBorders>
              <w:top w:val="single" w:sz="8" w:space="0" w:color="auto"/>
              <w:left w:val="nil"/>
              <w:bottom w:val="single" w:sz="4" w:space="0" w:color="auto"/>
              <w:right w:val="single" w:sz="8" w:space="0" w:color="auto"/>
            </w:tcBorders>
            <w:shd w:val="clear" w:color="auto" w:fill="E5B8B7" w:themeFill="accent2" w:themeFillTint="66"/>
            <w:noWrap/>
            <w:vAlign w:val="bottom"/>
            <w:hideMark/>
          </w:tcPr>
          <w:p w:rsidR="00D51015" w:rsidRPr="00D51015" w:rsidRDefault="00D51015" w:rsidP="00D51015">
            <w:pPr>
              <w:spacing w:after="0" w:line="240" w:lineRule="auto"/>
              <w:jc w:val="right"/>
              <w:rPr>
                <w:rFonts w:ascii="Arial" w:eastAsia="Times New Roman" w:hAnsi="Arial" w:cs="Arial"/>
                <w:sz w:val="20"/>
                <w:szCs w:val="20"/>
                <w:lang w:eastAsia="sl-SI"/>
              </w:rPr>
            </w:pPr>
            <w:r w:rsidRPr="00D51015">
              <w:rPr>
                <w:rFonts w:ascii="Arial" w:eastAsia="Times New Roman" w:hAnsi="Arial" w:cs="Arial"/>
                <w:sz w:val="20"/>
                <w:szCs w:val="20"/>
                <w:lang w:eastAsia="sl-SI"/>
              </w:rPr>
              <w:t>2015</w:t>
            </w:r>
          </w:p>
        </w:tc>
      </w:tr>
      <w:tr w:rsidR="00D51015" w:rsidRPr="00D51015" w:rsidTr="006A1668">
        <w:trPr>
          <w:trHeight w:val="320"/>
        </w:trPr>
        <w:tc>
          <w:tcPr>
            <w:tcW w:w="3233" w:type="dxa"/>
            <w:tcBorders>
              <w:top w:val="nil"/>
              <w:left w:val="single" w:sz="8" w:space="0" w:color="auto"/>
              <w:bottom w:val="single" w:sz="4" w:space="0" w:color="auto"/>
              <w:right w:val="single" w:sz="4" w:space="0" w:color="auto"/>
            </w:tcBorders>
            <w:shd w:val="clear" w:color="auto" w:fill="E5B8B7" w:themeFill="accent2" w:themeFillTint="66"/>
            <w:noWrap/>
            <w:vAlign w:val="bottom"/>
            <w:hideMark/>
          </w:tcPr>
          <w:p w:rsidR="00D51015" w:rsidRPr="00D51015" w:rsidRDefault="00D51015" w:rsidP="00D51015">
            <w:pPr>
              <w:spacing w:after="0" w:line="240" w:lineRule="auto"/>
              <w:rPr>
                <w:rFonts w:ascii="Arial" w:eastAsia="Times New Roman" w:hAnsi="Arial" w:cs="Arial"/>
                <w:sz w:val="20"/>
                <w:szCs w:val="20"/>
                <w:lang w:eastAsia="sl-SI"/>
              </w:rPr>
            </w:pPr>
            <w:r w:rsidRPr="00D51015">
              <w:rPr>
                <w:rFonts w:ascii="Arial" w:eastAsia="Times New Roman" w:hAnsi="Arial" w:cs="Arial"/>
                <w:sz w:val="20"/>
                <w:szCs w:val="20"/>
                <w:lang w:eastAsia="sl-SI"/>
              </w:rPr>
              <w:t>Investicije v osnovna sredstva</w:t>
            </w:r>
          </w:p>
        </w:tc>
        <w:tc>
          <w:tcPr>
            <w:tcW w:w="1559" w:type="dxa"/>
            <w:tcBorders>
              <w:top w:val="nil"/>
              <w:left w:val="nil"/>
              <w:bottom w:val="single" w:sz="4" w:space="0" w:color="auto"/>
              <w:right w:val="single" w:sz="4" w:space="0" w:color="auto"/>
            </w:tcBorders>
            <w:shd w:val="clear" w:color="auto" w:fill="auto"/>
            <w:noWrap/>
            <w:vAlign w:val="bottom"/>
            <w:hideMark/>
          </w:tcPr>
          <w:p w:rsidR="00D51015" w:rsidRPr="00D51015" w:rsidRDefault="00D51015" w:rsidP="00D51015">
            <w:pPr>
              <w:spacing w:after="0" w:line="240" w:lineRule="auto"/>
              <w:jc w:val="right"/>
              <w:rPr>
                <w:rFonts w:ascii="Arial" w:eastAsia="Times New Roman" w:hAnsi="Arial" w:cs="Arial"/>
                <w:sz w:val="20"/>
                <w:szCs w:val="20"/>
                <w:lang w:eastAsia="sl-SI"/>
              </w:rPr>
            </w:pPr>
            <w:r w:rsidRPr="00D51015">
              <w:rPr>
                <w:rFonts w:ascii="Arial" w:eastAsia="Times New Roman" w:hAnsi="Arial" w:cs="Arial"/>
                <w:sz w:val="20"/>
                <w:szCs w:val="20"/>
                <w:lang w:eastAsia="sl-SI"/>
              </w:rPr>
              <w:t>2.000.000</w:t>
            </w:r>
            <w:r w:rsidR="006A1668">
              <w:rPr>
                <w:rFonts w:ascii="Arial" w:eastAsia="Times New Roman" w:hAnsi="Arial" w:cs="Arial"/>
                <w:sz w:val="20"/>
                <w:szCs w:val="20"/>
                <w:lang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51015" w:rsidRPr="00D51015" w:rsidRDefault="00D51015" w:rsidP="00D51015">
            <w:pPr>
              <w:spacing w:after="0" w:line="240" w:lineRule="auto"/>
              <w:jc w:val="right"/>
              <w:rPr>
                <w:rFonts w:ascii="Arial" w:eastAsia="Times New Roman" w:hAnsi="Arial" w:cs="Arial"/>
                <w:sz w:val="20"/>
                <w:szCs w:val="20"/>
                <w:lang w:eastAsia="sl-SI"/>
              </w:rPr>
            </w:pPr>
            <w:r w:rsidRPr="00D51015">
              <w:rPr>
                <w:rFonts w:ascii="Arial" w:eastAsia="Times New Roman" w:hAnsi="Arial" w:cs="Arial"/>
                <w:sz w:val="20"/>
                <w:szCs w:val="20"/>
                <w:lang w:eastAsia="sl-SI"/>
              </w:rPr>
              <w:t>2.500.000</w:t>
            </w:r>
            <w:r w:rsidR="006A1668">
              <w:rPr>
                <w:rFonts w:ascii="Arial" w:eastAsia="Times New Roman" w:hAnsi="Arial" w:cs="Arial"/>
                <w:sz w:val="20"/>
                <w:szCs w:val="20"/>
                <w:lang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D51015" w:rsidRPr="00D51015" w:rsidRDefault="00D51015" w:rsidP="00D51015">
            <w:pPr>
              <w:spacing w:after="0" w:line="240" w:lineRule="auto"/>
              <w:jc w:val="right"/>
              <w:rPr>
                <w:rFonts w:ascii="Arial" w:eastAsia="Times New Roman" w:hAnsi="Arial" w:cs="Arial"/>
                <w:sz w:val="20"/>
                <w:szCs w:val="20"/>
                <w:lang w:eastAsia="sl-SI"/>
              </w:rPr>
            </w:pPr>
            <w:r w:rsidRPr="00D51015">
              <w:rPr>
                <w:rFonts w:ascii="Arial" w:eastAsia="Times New Roman" w:hAnsi="Arial" w:cs="Arial"/>
                <w:sz w:val="20"/>
                <w:szCs w:val="20"/>
                <w:lang w:eastAsia="sl-SI"/>
              </w:rPr>
              <w:t>3.000.000</w:t>
            </w:r>
            <w:r w:rsidR="006A1668">
              <w:rPr>
                <w:rFonts w:ascii="Arial" w:eastAsia="Times New Roman" w:hAnsi="Arial" w:cs="Arial"/>
                <w:sz w:val="20"/>
                <w:szCs w:val="20"/>
                <w:lang w:eastAsia="sl-SI"/>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D51015" w:rsidRPr="00D51015" w:rsidRDefault="00D51015" w:rsidP="00D51015">
            <w:pPr>
              <w:spacing w:after="0" w:line="240" w:lineRule="auto"/>
              <w:jc w:val="right"/>
              <w:rPr>
                <w:rFonts w:ascii="Arial" w:eastAsia="Times New Roman" w:hAnsi="Arial" w:cs="Arial"/>
                <w:sz w:val="20"/>
                <w:szCs w:val="20"/>
                <w:lang w:eastAsia="sl-SI"/>
              </w:rPr>
            </w:pPr>
            <w:r w:rsidRPr="00D51015">
              <w:rPr>
                <w:rFonts w:ascii="Arial" w:eastAsia="Times New Roman" w:hAnsi="Arial" w:cs="Arial"/>
                <w:sz w:val="20"/>
                <w:szCs w:val="20"/>
                <w:lang w:eastAsia="sl-SI"/>
              </w:rPr>
              <w:t>4.500.000</w:t>
            </w:r>
            <w:r w:rsidR="006A1668">
              <w:rPr>
                <w:rFonts w:ascii="Arial" w:eastAsia="Times New Roman" w:hAnsi="Arial" w:cs="Arial"/>
                <w:sz w:val="20"/>
                <w:szCs w:val="20"/>
                <w:lang w:eastAsia="sl-SI"/>
              </w:rPr>
              <w:t xml:space="preserve"> € </w:t>
            </w:r>
          </w:p>
        </w:tc>
        <w:tc>
          <w:tcPr>
            <w:tcW w:w="1315" w:type="dxa"/>
            <w:tcBorders>
              <w:top w:val="nil"/>
              <w:left w:val="nil"/>
              <w:bottom w:val="single" w:sz="4" w:space="0" w:color="auto"/>
              <w:right w:val="single" w:sz="8" w:space="0" w:color="auto"/>
            </w:tcBorders>
            <w:shd w:val="clear" w:color="auto" w:fill="auto"/>
            <w:noWrap/>
            <w:vAlign w:val="bottom"/>
            <w:hideMark/>
          </w:tcPr>
          <w:p w:rsidR="00D51015" w:rsidRPr="00D51015" w:rsidRDefault="00D51015" w:rsidP="00D51015">
            <w:pPr>
              <w:spacing w:after="0" w:line="240" w:lineRule="auto"/>
              <w:jc w:val="right"/>
              <w:rPr>
                <w:rFonts w:ascii="Arial" w:eastAsia="Times New Roman" w:hAnsi="Arial" w:cs="Arial"/>
                <w:sz w:val="20"/>
                <w:szCs w:val="20"/>
                <w:lang w:eastAsia="sl-SI"/>
              </w:rPr>
            </w:pPr>
            <w:r w:rsidRPr="00D51015">
              <w:rPr>
                <w:rFonts w:ascii="Arial" w:eastAsia="Times New Roman" w:hAnsi="Arial" w:cs="Arial"/>
                <w:sz w:val="20"/>
                <w:szCs w:val="20"/>
                <w:lang w:eastAsia="sl-SI"/>
              </w:rPr>
              <w:t>5.000.000</w:t>
            </w:r>
            <w:r w:rsidR="006A1668">
              <w:rPr>
                <w:rFonts w:ascii="Arial" w:eastAsia="Times New Roman" w:hAnsi="Arial" w:cs="Arial"/>
                <w:sz w:val="20"/>
                <w:szCs w:val="20"/>
                <w:lang w:eastAsia="sl-SI"/>
              </w:rPr>
              <w:t xml:space="preserve"> €</w:t>
            </w:r>
          </w:p>
        </w:tc>
      </w:tr>
      <w:tr w:rsidR="00D51015" w:rsidRPr="00D51015" w:rsidTr="006A1668">
        <w:trPr>
          <w:trHeight w:val="320"/>
        </w:trPr>
        <w:tc>
          <w:tcPr>
            <w:tcW w:w="3233" w:type="dxa"/>
            <w:tcBorders>
              <w:top w:val="nil"/>
              <w:left w:val="single" w:sz="8" w:space="0" w:color="auto"/>
              <w:bottom w:val="single" w:sz="4" w:space="0" w:color="auto"/>
              <w:right w:val="single" w:sz="4" w:space="0" w:color="auto"/>
            </w:tcBorders>
            <w:shd w:val="clear" w:color="auto" w:fill="E5B8B7" w:themeFill="accent2" w:themeFillTint="66"/>
            <w:noWrap/>
            <w:vAlign w:val="bottom"/>
            <w:hideMark/>
          </w:tcPr>
          <w:p w:rsidR="00D51015" w:rsidRPr="00D51015" w:rsidRDefault="00D51015" w:rsidP="00D51015">
            <w:pPr>
              <w:spacing w:after="0" w:line="240" w:lineRule="auto"/>
              <w:rPr>
                <w:rFonts w:ascii="Arial" w:eastAsia="Times New Roman" w:hAnsi="Arial" w:cs="Arial"/>
                <w:sz w:val="20"/>
                <w:szCs w:val="20"/>
                <w:lang w:eastAsia="sl-SI"/>
              </w:rPr>
            </w:pPr>
            <w:r w:rsidRPr="00D51015">
              <w:rPr>
                <w:rFonts w:ascii="Arial" w:eastAsia="Times New Roman" w:hAnsi="Arial" w:cs="Arial"/>
                <w:sz w:val="20"/>
                <w:szCs w:val="20"/>
                <w:lang w:eastAsia="sl-SI"/>
              </w:rPr>
              <w:t>Amortizacija</w:t>
            </w:r>
          </w:p>
        </w:tc>
        <w:tc>
          <w:tcPr>
            <w:tcW w:w="1559" w:type="dxa"/>
            <w:tcBorders>
              <w:top w:val="nil"/>
              <w:left w:val="nil"/>
              <w:bottom w:val="single" w:sz="4" w:space="0" w:color="auto"/>
              <w:right w:val="single" w:sz="4" w:space="0" w:color="auto"/>
            </w:tcBorders>
            <w:shd w:val="clear" w:color="auto" w:fill="auto"/>
            <w:noWrap/>
            <w:vAlign w:val="bottom"/>
            <w:hideMark/>
          </w:tcPr>
          <w:p w:rsidR="00D51015" w:rsidRPr="00D51015" w:rsidRDefault="00D51015" w:rsidP="00D51015">
            <w:pPr>
              <w:spacing w:after="0" w:line="240" w:lineRule="auto"/>
              <w:jc w:val="right"/>
              <w:rPr>
                <w:rFonts w:ascii="Arial" w:eastAsia="Times New Roman" w:hAnsi="Arial" w:cs="Arial"/>
                <w:sz w:val="20"/>
                <w:szCs w:val="20"/>
                <w:lang w:eastAsia="sl-SI"/>
              </w:rPr>
            </w:pPr>
            <w:r w:rsidRPr="00D51015">
              <w:rPr>
                <w:rFonts w:ascii="Arial" w:eastAsia="Times New Roman" w:hAnsi="Arial" w:cs="Arial"/>
                <w:sz w:val="20"/>
                <w:szCs w:val="20"/>
                <w:lang w:eastAsia="sl-SI"/>
              </w:rPr>
              <w:t>4.700.000</w:t>
            </w:r>
            <w:r w:rsidR="006A1668">
              <w:rPr>
                <w:rFonts w:ascii="Arial" w:eastAsia="Times New Roman" w:hAnsi="Arial" w:cs="Arial"/>
                <w:sz w:val="20"/>
                <w:szCs w:val="20"/>
                <w:lang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51015" w:rsidRPr="00D51015" w:rsidRDefault="00F73096" w:rsidP="00D51015">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4.9</w:t>
            </w:r>
            <w:r w:rsidR="00D51015" w:rsidRPr="00D51015">
              <w:rPr>
                <w:rFonts w:ascii="Arial" w:eastAsia="Times New Roman" w:hAnsi="Arial" w:cs="Arial"/>
                <w:sz w:val="20"/>
                <w:szCs w:val="20"/>
                <w:lang w:eastAsia="sl-SI"/>
              </w:rPr>
              <w:t>00.000</w:t>
            </w:r>
            <w:r w:rsidR="006A1668">
              <w:rPr>
                <w:rFonts w:ascii="Arial" w:eastAsia="Times New Roman" w:hAnsi="Arial" w:cs="Arial"/>
                <w:sz w:val="20"/>
                <w:szCs w:val="20"/>
                <w:lang w:eastAsia="sl-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D51015" w:rsidRPr="00D51015" w:rsidRDefault="00D51015" w:rsidP="00F73096">
            <w:pPr>
              <w:spacing w:after="0" w:line="240" w:lineRule="auto"/>
              <w:jc w:val="right"/>
              <w:rPr>
                <w:rFonts w:ascii="Arial" w:eastAsia="Times New Roman" w:hAnsi="Arial" w:cs="Arial"/>
                <w:sz w:val="20"/>
                <w:szCs w:val="20"/>
                <w:lang w:eastAsia="sl-SI"/>
              </w:rPr>
            </w:pPr>
            <w:r w:rsidRPr="00D51015">
              <w:rPr>
                <w:rFonts w:ascii="Arial" w:eastAsia="Times New Roman" w:hAnsi="Arial" w:cs="Arial"/>
                <w:sz w:val="20"/>
                <w:szCs w:val="20"/>
                <w:lang w:eastAsia="sl-SI"/>
              </w:rPr>
              <w:t>5.</w:t>
            </w:r>
            <w:r w:rsidR="00F73096">
              <w:rPr>
                <w:rFonts w:ascii="Arial" w:eastAsia="Times New Roman" w:hAnsi="Arial" w:cs="Arial"/>
                <w:sz w:val="20"/>
                <w:szCs w:val="20"/>
                <w:lang w:eastAsia="sl-SI"/>
              </w:rPr>
              <w:t>15</w:t>
            </w:r>
            <w:r w:rsidRPr="00D51015">
              <w:rPr>
                <w:rFonts w:ascii="Arial" w:eastAsia="Times New Roman" w:hAnsi="Arial" w:cs="Arial"/>
                <w:sz w:val="20"/>
                <w:szCs w:val="20"/>
                <w:lang w:eastAsia="sl-SI"/>
              </w:rPr>
              <w:t>0.000</w:t>
            </w:r>
            <w:r w:rsidR="006A1668">
              <w:rPr>
                <w:rFonts w:ascii="Arial" w:eastAsia="Times New Roman" w:hAnsi="Arial" w:cs="Arial"/>
                <w:sz w:val="20"/>
                <w:szCs w:val="20"/>
                <w:lang w:eastAsia="sl-SI"/>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D51015" w:rsidRPr="00D51015" w:rsidRDefault="00F73096" w:rsidP="00D51015">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5.5</w:t>
            </w:r>
            <w:r w:rsidR="00D51015" w:rsidRPr="00D51015">
              <w:rPr>
                <w:rFonts w:ascii="Arial" w:eastAsia="Times New Roman" w:hAnsi="Arial" w:cs="Arial"/>
                <w:sz w:val="20"/>
                <w:szCs w:val="20"/>
                <w:lang w:eastAsia="sl-SI"/>
              </w:rPr>
              <w:t>00.000</w:t>
            </w:r>
            <w:r w:rsidR="006A1668">
              <w:rPr>
                <w:rFonts w:ascii="Arial" w:eastAsia="Times New Roman" w:hAnsi="Arial" w:cs="Arial"/>
                <w:sz w:val="20"/>
                <w:szCs w:val="20"/>
                <w:lang w:eastAsia="sl-SI"/>
              </w:rPr>
              <w:t xml:space="preserve"> €</w:t>
            </w:r>
          </w:p>
        </w:tc>
        <w:tc>
          <w:tcPr>
            <w:tcW w:w="1315" w:type="dxa"/>
            <w:tcBorders>
              <w:top w:val="nil"/>
              <w:left w:val="nil"/>
              <w:bottom w:val="single" w:sz="4" w:space="0" w:color="auto"/>
              <w:right w:val="single" w:sz="8" w:space="0" w:color="auto"/>
            </w:tcBorders>
            <w:shd w:val="clear" w:color="auto" w:fill="auto"/>
            <w:noWrap/>
            <w:vAlign w:val="bottom"/>
            <w:hideMark/>
          </w:tcPr>
          <w:p w:rsidR="00D51015" w:rsidRPr="00D51015" w:rsidRDefault="00F73096" w:rsidP="00D51015">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5.9</w:t>
            </w:r>
            <w:r w:rsidR="00D51015" w:rsidRPr="00D51015">
              <w:rPr>
                <w:rFonts w:ascii="Arial" w:eastAsia="Times New Roman" w:hAnsi="Arial" w:cs="Arial"/>
                <w:sz w:val="20"/>
                <w:szCs w:val="20"/>
                <w:lang w:eastAsia="sl-SI"/>
              </w:rPr>
              <w:t>00.000</w:t>
            </w:r>
            <w:r w:rsidR="006A1668">
              <w:rPr>
                <w:rFonts w:ascii="Arial" w:eastAsia="Times New Roman" w:hAnsi="Arial" w:cs="Arial"/>
                <w:sz w:val="20"/>
                <w:szCs w:val="20"/>
                <w:lang w:eastAsia="sl-SI"/>
              </w:rPr>
              <w:t xml:space="preserve"> €</w:t>
            </w:r>
          </w:p>
        </w:tc>
      </w:tr>
      <w:tr w:rsidR="00D51015" w:rsidRPr="00D51015" w:rsidTr="006A1668">
        <w:trPr>
          <w:trHeight w:val="335"/>
        </w:trPr>
        <w:tc>
          <w:tcPr>
            <w:tcW w:w="3233" w:type="dxa"/>
            <w:tcBorders>
              <w:top w:val="nil"/>
              <w:left w:val="single" w:sz="8" w:space="0" w:color="auto"/>
              <w:bottom w:val="single" w:sz="8" w:space="0" w:color="auto"/>
              <w:right w:val="single" w:sz="4" w:space="0" w:color="auto"/>
            </w:tcBorders>
            <w:shd w:val="clear" w:color="auto" w:fill="E5B8B7" w:themeFill="accent2" w:themeFillTint="66"/>
            <w:noWrap/>
            <w:vAlign w:val="bottom"/>
            <w:hideMark/>
          </w:tcPr>
          <w:p w:rsidR="00D51015" w:rsidRPr="00D51015" w:rsidRDefault="00D51015" w:rsidP="00D51015">
            <w:pPr>
              <w:spacing w:after="0" w:line="240" w:lineRule="auto"/>
              <w:rPr>
                <w:rFonts w:ascii="Arial" w:eastAsia="Times New Roman" w:hAnsi="Arial" w:cs="Arial"/>
                <w:sz w:val="20"/>
                <w:szCs w:val="20"/>
                <w:lang w:eastAsia="sl-SI"/>
              </w:rPr>
            </w:pPr>
            <w:r w:rsidRPr="00D51015">
              <w:rPr>
                <w:rFonts w:ascii="Arial" w:eastAsia="Times New Roman" w:hAnsi="Arial" w:cs="Arial"/>
                <w:sz w:val="20"/>
                <w:szCs w:val="20"/>
                <w:lang w:eastAsia="sl-SI"/>
              </w:rPr>
              <w:t>Neto investicije</w:t>
            </w:r>
          </w:p>
        </w:tc>
        <w:tc>
          <w:tcPr>
            <w:tcW w:w="1559" w:type="dxa"/>
            <w:tcBorders>
              <w:top w:val="nil"/>
              <w:left w:val="nil"/>
              <w:bottom w:val="single" w:sz="8" w:space="0" w:color="auto"/>
              <w:right w:val="single" w:sz="4" w:space="0" w:color="auto"/>
            </w:tcBorders>
            <w:shd w:val="clear" w:color="auto" w:fill="auto"/>
            <w:noWrap/>
            <w:vAlign w:val="bottom"/>
            <w:hideMark/>
          </w:tcPr>
          <w:p w:rsidR="00D51015" w:rsidRPr="00D51015" w:rsidRDefault="00D51015" w:rsidP="00D51015">
            <w:pPr>
              <w:spacing w:after="0" w:line="240" w:lineRule="auto"/>
              <w:jc w:val="right"/>
              <w:rPr>
                <w:rFonts w:ascii="Arial" w:eastAsia="Times New Roman" w:hAnsi="Arial" w:cs="Arial"/>
                <w:b/>
                <w:bCs/>
                <w:sz w:val="20"/>
                <w:szCs w:val="20"/>
                <w:lang w:eastAsia="sl-SI"/>
              </w:rPr>
            </w:pPr>
            <w:r w:rsidRPr="00D51015">
              <w:rPr>
                <w:rFonts w:ascii="Arial" w:eastAsia="Times New Roman" w:hAnsi="Arial" w:cs="Arial"/>
                <w:b/>
                <w:bCs/>
                <w:sz w:val="20"/>
                <w:szCs w:val="20"/>
                <w:lang w:eastAsia="sl-SI"/>
              </w:rPr>
              <w:t>2.700.000</w:t>
            </w:r>
            <w:r w:rsidR="006A1668">
              <w:rPr>
                <w:rFonts w:ascii="Arial" w:eastAsia="Times New Roman" w:hAnsi="Arial" w:cs="Arial"/>
                <w:b/>
                <w:bCs/>
                <w:sz w:val="20"/>
                <w:szCs w:val="20"/>
                <w:lang w:eastAsia="sl-SI"/>
              </w:rPr>
              <w:t xml:space="preserve"> €</w:t>
            </w:r>
          </w:p>
        </w:tc>
        <w:tc>
          <w:tcPr>
            <w:tcW w:w="1559" w:type="dxa"/>
            <w:tcBorders>
              <w:top w:val="nil"/>
              <w:left w:val="nil"/>
              <w:bottom w:val="single" w:sz="8" w:space="0" w:color="auto"/>
              <w:right w:val="single" w:sz="4" w:space="0" w:color="auto"/>
            </w:tcBorders>
            <w:shd w:val="clear" w:color="auto" w:fill="auto"/>
            <w:noWrap/>
            <w:vAlign w:val="bottom"/>
            <w:hideMark/>
          </w:tcPr>
          <w:p w:rsidR="00D51015" w:rsidRPr="00D51015" w:rsidRDefault="004F489B" w:rsidP="00D51015">
            <w:pPr>
              <w:spacing w:after="0" w:line="240" w:lineRule="auto"/>
              <w:jc w:val="right"/>
              <w:rPr>
                <w:rFonts w:ascii="Arial" w:eastAsia="Times New Roman" w:hAnsi="Arial" w:cs="Arial"/>
                <w:b/>
                <w:bCs/>
                <w:sz w:val="20"/>
                <w:szCs w:val="20"/>
                <w:lang w:eastAsia="sl-SI"/>
              </w:rPr>
            </w:pPr>
            <w:r>
              <w:rPr>
                <w:rFonts w:ascii="Arial" w:eastAsia="Times New Roman" w:hAnsi="Arial" w:cs="Arial"/>
                <w:b/>
                <w:bCs/>
                <w:sz w:val="20"/>
                <w:szCs w:val="20"/>
                <w:lang w:eastAsia="sl-SI"/>
              </w:rPr>
              <w:t>2.4</w:t>
            </w:r>
            <w:r w:rsidR="00D51015" w:rsidRPr="00D51015">
              <w:rPr>
                <w:rFonts w:ascii="Arial" w:eastAsia="Times New Roman" w:hAnsi="Arial" w:cs="Arial"/>
                <w:b/>
                <w:bCs/>
                <w:sz w:val="20"/>
                <w:szCs w:val="20"/>
                <w:lang w:eastAsia="sl-SI"/>
              </w:rPr>
              <w:t>00.000</w:t>
            </w:r>
            <w:r w:rsidR="006A1668">
              <w:rPr>
                <w:rFonts w:ascii="Arial" w:eastAsia="Times New Roman" w:hAnsi="Arial" w:cs="Arial"/>
                <w:b/>
                <w:bCs/>
                <w:sz w:val="20"/>
                <w:szCs w:val="20"/>
                <w:lang w:eastAsia="sl-SI"/>
              </w:rPr>
              <w:t xml:space="preserve"> €</w:t>
            </w:r>
          </w:p>
        </w:tc>
        <w:tc>
          <w:tcPr>
            <w:tcW w:w="1418" w:type="dxa"/>
            <w:tcBorders>
              <w:top w:val="nil"/>
              <w:left w:val="nil"/>
              <w:bottom w:val="single" w:sz="8" w:space="0" w:color="auto"/>
              <w:right w:val="single" w:sz="4" w:space="0" w:color="auto"/>
            </w:tcBorders>
            <w:shd w:val="clear" w:color="auto" w:fill="auto"/>
            <w:noWrap/>
            <w:vAlign w:val="bottom"/>
            <w:hideMark/>
          </w:tcPr>
          <w:p w:rsidR="00D51015" w:rsidRPr="00D51015" w:rsidRDefault="00D51015" w:rsidP="00D51015">
            <w:pPr>
              <w:spacing w:after="0" w:line="240" w:lineRule="auto"/>
              <w:jc w:val="right"/>
              <w:rPr>
                <w:rFonts w:ascii="Arial" w:eastAsia="Times New Roman" w:hAnsi="Arial" w:cs="Arial"/>
                <w:b/>
                <w:bCs/>
                <w:sz w:val="20"/>
                <w:szCs w:val="20"/>
                <w:lang w:eastAsia="sl-SI"/>
              </w:rPr>
            </w:pPr>
            <w:r w:rsidRPr="00D51015">
              <w:rPr>
                <w:rFonts w:ascii="Arial" w:eastAsia="Times New Roman" w:hAnsi="Arial" w:cs="Arial"/>
                <w:b/>
                <w:bCs/>
                <w:sz w:val="20"/>
                <w:szCs w:val="20"/>
                <w:lang w:eastAsia="sl-SI"/>
              </w:rPr>
              <w:t>2.</w:t>
            </w:r>
            <w:r w:rsidR="007D525A">
              <w:rPr>
                <w:rFonts w:ascii="Arial" w:eastAsia="Times New Roman" w:hAnsi="Arial" w:cs="Arial"/>
                <w:b/>
                <w:bCs/>
                <w:sz w:val="20"/>
                <w:szCs w:val="20"/>
                <w:lang w:eastAsia="sl-SI"/>
              </w:rPr>
              <w:t>15</w:t>
            </w:r>
            <w:r w:rsidRPr="00D51015">
              <w:rPr>
                <w:rFonts w:ascii="Arial" w:eastAsia="Times New Roman" w:hAnsi="Arial" w:cs="Arial"/>
                <w:b/>
                <w:bCs/>
                <w:sz w:val="20"/>
                <w:szCs w:val="20"/>
                <w:lang w:eastAsia="sl-SI"/>
              </w:rPr>
              <w:t>0.000</w:t>
            </w:r>
            <w:r w:rsidR="006A1668">
              <w:rPr>
                <w:rFonts w:ascii="Arial" w:eastAsia="Times New Roman" w:hAnsi="Arial" w:cs="Arial"/>
                <w:b/>
                <w:bCs/>
                <w:sz w:val="20"/>
                <w:szCs w:val="20"/>
                <w:lang w:eastAsia="sl-SI"/>
              </w:rPr>
              <w:t xml:space="preserve"> €</w:t>
            </w:r>
          </w:p>
        </w:tc>
        <w:tc>
          <w:tcPr>
            <w:tcW w:w="1417" w:type="dxa"/>
            <w:tcBorders>
              <w:top w:val="nil"/>
              <w:left w:val="nil"/>
              <w:bottom w:val="single" w:sz="8" w:space="0" w:color="auto"/>
              <w:right w:val="single" w:sz="4" w:space="0" w:color="auto"/>
            </w:tcBorders>
            <w:shd w:val="clear" w:color="auto" w:fill="auto"/>
            <w:noWrap/>
            <w:vAlign w:val="bottom"/>
            <w:hideMark/>
          </w:tcPr>
          <w:p w:rsidR="00D51015" w:rsidRPr="00D51015" w:rsidRDefault="007D525A" w:rsidP="00D51015">
            <w:pPr>
              <w:spacing w:after="0" w:line="240" w:lineRule="auto"/>
              <w:jc w:val="right"/>
              <w:rPr>
                <w:rFonts w:ascii="Arial" w:eastAsia="Times New Roman" w:hAnsi="Arial" w:cs="Arial"/>
                <w:b/>
                <w:bCs/>
                <w:sz w:val="20"/>
                <w:szCs w:val="20"/>
                <w:lang w:eastAsia="sl-SI"/>
              </w:rPr>
            </w:pPr>
            <w:r>
              <w:rPr>
                <w:rFonts w:ascii="Arial" w:eastAsia="Times New Roman" w:hAnsi="Arial" w:cs="Arial"/>
                <w:b/>
                <w:bCs/>
                <w:sz w:val="20"/>
                <w:szCs w:val="20"/>
                <w:lang w:eastAsia="sl-SI"/>
              </w:rPr>
              <w:t>1.0</w:t>
            </w:r>
            <w:r w:rsidR="00D51015" w:rsidRPr="00D51015">
              <w:rPr>
                <w:rFonts w:ascii="Arial" w:eastAsia="Times New Roman" w:hAnsi="Arial" w:cs="Arial"/>
                <w:b/>
                <w:bCs/>
                <w:sz w:val="20"/>
                <w:szCs w:val="20"/>
                <w:lang w:eastAsia="sl-SI"/>
              </w:rPr>
              <w:t>00.000</w:t>
            </w:r>
            <w:r w:rsidR="006A1668">
              <w:rPr>
                <w:rFonts w:ascii="Arial" w:eastAsia="Times New Roman" w:hAnsi="Arial" w:cs="Arial"/>
                <w:b/>
                <w:bCs/>
                <w:sz w:val="20"/>
                <w:szCs w:val="20"/>
                <w:lang w:eastAsia="sl-SI"/>
              </w:rPr>
              <w:t xml:space="preserve"> €</w:t>
            </w:r>
          </w:p>
        </w:tc>
        <w:tc>
          <w:tcPr>
            <w:tcW w:w="1315" w:type="dxa"/>
            <w:tcBorders>
              <w:top w:val="nil"/>
              <w:left w:val="nil"/>
              <w:bottom w:val="single" w:sz="8" w:space="0" w:color="auto"/>
              <w:right w:val="single" w:sz="8" w:space="0" w:color="auto"/>
            </w:tcBorders>
            <w:shd w:val="clear" w:color="auto" w:fill="auto"/>
            <w:noWrap/>
            <w:vAlign w:val="bottom"/>
            <w:hideMark/>
          </w:tcPr>
          <w:p w:rsidR="00D51015" w:rsidRPr="00D51015" w:rsidRDefault="007D525A" w:rsidP="00D51015">
            <w:pPr>
              <w:spacing w:after="0" w:line="240" w:lineRule="auto"/>
              <w:jc w:val="right"/>
              <w:rPr>
                <w:rFonts w:ascii="Arial" w:eastAsia="Times New Roman" w:hAnsi="Arial" w:cs="Arial"/>
                <w:b/>
                <w:bCs/>
                <w:sz w:val="20"/>
                <w:szCs w:val="20"/>
                <w:lang w:eastAsia="sl-SI"/>
              </w:rPr>
            </w:pPr>
            <w:r>
              <w:rPr>
                <w:rFonts w:ascii="Arial" w:eastAsia="Times New Roman" w:hAnsi="Arial" w:cs="Arial"/>
                <w:b/>
                <w:bCs/>
                <w:sz w:val="20"/>
                <w:szCs w:val="20"/>
                <w:lang w:eastAsia="sl-SI"/>
              </w:rPr>
              <w:t>90</w:t>
            </w:r>
            <w:r w:rsidR="00D51015" w:rsidRPr="00D51015">
              <w:rPr>
                <w:rFonts w:ascii="Arial" w:eastAsia="Times New Roman" w:hAnsi="Arial" w:cs="Arial"/>
                <w:b/>
                <w:bCs/>
                <w:sz w:val="20"/>
                <w:szCs w:val="20"/>
                <w:lang w:eastAsia="sl-SI"/>
              </w:rPr>
              <w:t>0.000</w:t>
            </w:r>
            <w:r w:rsidR="006A1668">
              <w:rPr>
                <w:rFonts w:ascii="Arial" w:eastAsia="Times New Roman" w:hAnsi="Arial" w:cs="Arial"/>
                <w:b/>
                <w:bCs/>
                <w:sz w:val="20"/>
                <w:szCs w:val="20"/>
                <w:lang w:eastAsia="sl-SI"/>
              </w:rPr>
              <w:t xml:space="preserve"> €</w:t>
            </w:r>
          </w:p>
        </w:tc>
      </w:tr>
    </w:tbl>
    <w:p w:rsidR="00D51015" w:rsidRDefault="00D51015" w:rsidP="00273D8E">
      <w:pPr>
        <w:spacing w:after="120"/>
      </w:pPr>
    </w:p>
    <w:p w:rsidR="00E65595" w:rsidRPr="001A67DA" w:rsidRDefault="00D51015" w:rsidP="00E65595">
      <w:pPr>
        <w:spacing w:line="360" w:lineRule="auto"/>
        <w:jc w:val="both"/>
        <w:rPr>
          <w:rFonts w:ascii="Times New Roman" w:hAnsi="Times New Roman" w:cs="Times New Roman"/>
          <w:sz w:val="24"/>
        </w:rPr>
      </w:pPr>
      <w:r w:rsidRPr="001A67DA">
        <w:rPr>
          <w:rFonts w:ascii="Times New Roman" w:hAnsi="Times New Roman" w:cs="Times New Roman"/>
          <w:sz w:val="24"/>
        </w:rPr>
        <w:t xml:space="preserve">Pri določanju višine investicij in amortizacije po preteklih gibanjih pred krizo in med krizo. Investicije pri Skupini Adria </w:t>
      </w:r>
      <w:proofErr w:type="spellStart"/>
      <w:r w:rsidRPr="001A67DA">
        <w:rPr>
          <w:rFonts w:ascii="Times New Roman" w:hAnsi="Times New Roman" w:cs="Times New Roman"/>
          <w:sz w:val="24"/>
        </w:rPr>
        <w:t>Mobil</w:t>
      </w:r>
      <w:proofErr w:type="spellEnd"/>
      <w:r w:rsidRPr="001A67DA">
        <w:rPr>
          <w:rFonts w:ascii="Times New Roman" w:hAnsi="Times New Roman" w:cs="Times New Roman"/>
          <w:sz w:val="24"/>
        </w:rPr>
        <w:t xml:space="preserve"> (v nadaljevanju) nikoli niso </w:t>
      </w:r>
      <w:r w:rsidR="000C7434" w:rsidRPr="001A67DA">
        <w:rPr>
          <w:rFonts w:ascii="Times New Roman" w:hAnsi="Times New Roman" w:cs="Times New Roman"/>
          <w:sz w:val="24"/>
        </w:rPr>
        <w:t>bile zelo visoke in so se giba</w:t>
      </w:r>
      <w:r w:rsidRPr="001A67DA">
        <w:rPr>
          <w:rFonts w:ascii="Times New Roman" w:hAnsi="Times New Roman" w:cs="Times New Roman"/>
          <w:sz w:val="24"/>
        </w:rPr>
        <w:t xml:space="preserve">le </w:t>
      </w:r>
      <w:r w:rsidR="00E6595B" w:rsidRPr="001A67DA">
        <w:rPr>
          <w:rFonts w:ascii="Times New Roman" w:hAnsi="Times New Roman" w:cs="Times New Roman"/>
          <w:sz w:val="24"/>
        </w:rPr>
        <w:t>nekoliko nad ravnjo</w:t>
      </w:r>
      <w:r w:rsidRPr="001A67DA">
        <w:rPr>
          <w:rFonts w:ascii="Times New Roman" w:hAnsi="Times New Roman" w:cs="Times New Roman"/>
          <w:sz w:val="24"/>
        </w:rPr>
        <w:t xml:space="preserve"> amortizacije, v zadnjih letih pa celo pod njo. Načeloma taka raven investicije podjetjem ne prinaša rasti, </w:t>
      </w:r>
      <w:r w:rsidR="007273A2" w:rsidRPr="001A67DA">
        <w:rPr>
          <w:rFonts w:ascii="Times New Roman" w:hAnsi="Times New Roman" w:cs="Times New Roman"/>
          <w:sz w:val="24"/>
        </w:rPr>
        <w:t xml:space="preserve">vendar to ne velja popolnoma za SAM, saj jim je kljub padcu 2008 – zaradi krize – do sedaj vedno uspelo rasti. Razlog je, da je rast družbe najmočneje povezana s tržnim deležem na evropskih trgih in njegovo rastjo. Kljub dokaj nizkim investicijam torej podjetje dosega rast, kar dokazuje njihov uspešen poslovni model. Seveda, družba kljub temu veliko poudarka daje na investicijah, saj se zavedajo, da so </w:t>
      </w:r>
      <w:r w:rsidR="007273A2" w:rsidRPr="001A67DA">
        <w:rPr>
          <w:rFonts w:ascii="Times New Roman" w:hAnsi="Times New Roman" w:cs="Times New Roman"/>
          <w:sz w:val="24"/>
        </w:rPr>
        <w:lastRenderedPageBreak/>
        <w:t xml:space="preserve">povezane z ohranjanjem tržnih </w:t>
      </w:r>
      <w:r w:rsidR="00BF69FC" w:rsidRPr="001A67DA">
        <w:rPr>
          <w:rFonts w:ascii="Times New Roman" w:hAnsi="Times New Roman" w:cs="Times New Roman"/>
          <w:sz w:val="24"/>
        </w:rPr>
        <w:t>deležev</w:t>
      </w:r>
      <w:r w:rsidR="007273A2" w:rsidRPr="001A67DA">
        <w:rPr>
          <w:rFonts w:ascii="Times New Roman" w:hAnsi="Times New Roman" w:cs="Times New Roman"/>
          <w:sz w:val="24"/>
        </w:rPr>
        <w:t xml:space="preserve"> in pridobivanjem novega.</w:t>
      </w:r>
      <w:r w:rsidR="000C7434" w:rsidRPr="001A67DA">
        <w:rPr>
          <w:rFonts w:ascii="Times New Roman" w:hAnsi="Times New Roman" w:cs="Times New Roman"/>
          <w:sz w:val="24"/>
        </w:rPr>
        <w:t xml:space="preserve"> V letnih poročilih do leta 2008, torej pred krizo, so se investicije </w:t>
      </w:r>
      <w:r w:rsidR="00BF69FC" w:rsidRPr="001A67DA">
        <w:rPr>
          <w:rFonts w:ascii="Times New Roman" w:hAnsi="Times New Roman" w:cs="Times New Roman"/>
          <w:sz w:val="24"/>
        </w:rPr>
        <w:t>gibale</w:t>
      </w:r>
      <w:r w:rsidR="000C7434" w:rsidRPr="001A67DA">
        <w:rPr>
          <w:rFonts w:ascii="Times New Roman" w:hAnsi="Times New Roman" w:cs="Times New Roman"/>
          <w:sz w:val="24"/>
        </w:rPr>
        <w:t xml:space="preserve"> </w:t>
      </w:r>
      <w:r w:rsidR="00E6595B" w:rsidRPr="001A67DA">
        <w:rPr>
          <w:rFonts w:ascii="Times New Roman" w:hAnsi="Times New Roman" w:cs="Times New Roman"/>
          <w:sz w:val="24"/>
        </w:rPr>
        <w:t xml:space="preserve">med 5 in 10 </w:t>
      </w:r>
      <w:r w:rsidR="000C7434" w:rsidRPr="001A67DA">
        <w:rPr>
          <w:rFonts w:ascii="Times New Roman" w:hAnsi="Times New Roman" w:cs="Times New Roman"/>
          <w:sz w:val="24"/>
        </w:rPr>
        <w:t xml:space="preserve">milijonov EUR, v zadnjih letih med krizo </w:t>
      </w:r>
      <w:r w:rsidR="00E6595B" w:rsidRPr="001A67DA">
        <w:rPr>
          <w:rFonts w:ascii="Times New Roman" w:hAnsi="Times New Roman" w:cs="Times New Roman"/>
          <w:sz w:val="24"/>
        </w:rPr>
        <w:t xml:space="preserve">(2008-2010) </w:t>
      </w:r>
      <w:r w:rsidR="000C7434" w:rsidRPr="001A67DA">
        <w:rPr>
          <w:rFonts w:ascii="Times New Roman" w:hAnsi="Times New Roman" w:cs="Times New Roman"/>
          <w:sz w:val="24"/>
        </w:rPr>
        <w:t xml:space="preserve">pa </w:t>
      </w:r>
      <w:r w:rsidR="00E6595B" w:rsidRPr="001A67DA">
        <w:rPr>
          <w:rFonts w:ascii="Times New Roman" w:hAnsi="Times New Roman" w:cs="Times New Roman"/>
          <w:sz w:val="24"/>
        </w:rPr>
        <w:t>med 2 in 3 milijone, izjemoma 5 milijonov EUR leta 2009.</w:t>
      </w:r>
      <w:r w:rsidR="00840DF3" w:rsidRPr="001A67DA">
        <w:rPr>
          <w:rFonts w:ascii="Times New Roman" w:hAnsi="Times New Roman" w:cs="Times New Roman"/>
          <w:sz w:val="24"/>
        </w:rPr>
        <w:t xml:space="preserve"> </w:t>
      </w:r>
      <w:r w:rsidR="007E58B3" w:rsidRPr="001A67DA">
        <w:rPr>
          <w:rFonts w:ascii="Times New Roman" w:hAnsi="Times New Roman" w:cs="Times New Roman"/>
          <w:sz w:val="24"/>
        </w:rPr>
        <w:t>Največji delež teh investicij predstav</w:t>
      </w:r>
      <w:r w:rsidR="005D2D2F" w:rsidRPr="001A67DA">
        <w:rPr>
          <w:rFonts w:ascii="Times New Roman" w:hAnsi="Times New Roman" w:cs="Times New Roman"/>
          <w:sz w:val="24"/>
        </w:rPr>
        <w:t xml:space="preserve">lja vlaganje v osnovna sredstva in so se zadnja leta zaradi krize zmanjšala. </w:t>
      </w:r>
      <w:r w:rsidR="00840DF3" w:rsidRPr="001A67DA">
        <w:rPr>
          <w:rFonts w:ascii="Times New Roman" w:hAnsi="Times New Roman" w:cs="Times New Roman"/>
          <w:sz w:val="24"/>
        </w:rPr>
        <w:t xml:space="preserve"> </w:t>
      </w:r>
      <w:r w:rsidR="00266AB7" w:rsidRPr="001A67DA">
        <w:rPr>
          <w:rFonts w:ascii="Times New Roman" w:hAnsi="Times New Roman" w:cs="Times New Roman"/>
          <w:sz w:val="24"/>
        </w:rPr>
        <w:t xml:space="preserve">Investicije </w:t>
      </w:r>
      <w:r w:rsidR="0096557C" w:rsidRPr="001A67DA">
        <w:rPr>
          <w:rFonts w:ascii="Times New Roman" w:hAnsi="Times New Roman" w:cs="Times New Roman"/>
          <w:sz w:val="24"/>
        </w:rPr>
        <w:t xml:space="preserve">se bodo v naslednjih nekaj letih po našem mnenju postopoma povečevale do ravni amortizacije. </w:t>
      </w:r>
      <w:r w:rsidR="00DC5D6B" w:rsidRPr="001A67DA">
        <w:rPr>
          <w:rFonts w:ascii="Times New Roman" w:hAnsi="Times New Roman" w:cs="Times New Roman"/>
          <w:sz w:val="24"/>
        </w:rPr>
        <w:t xml:space="preserve">Poleg tega postopno naraščanje investicij lahko pripišemo tudi previdnosti zaradi odplačevanju kreditov zaradi </w:t>
      </w:r>
      <w:proofErr w:type="spellStart"/>
      <w:r w:rsidR="00DC5D6B" w:rsidRPr="001A67DA">
        <w:rPr>
          <w:rFonts w:ascii="Times New Roman" w:hAnsi="Times New Roman" w:cs="Times New Roman"/>
          <w:sz w:val="24"/>
        </w:rPr>
        <w:t>managerskega</w:t>
      </w:r>
      <w:proofErr w:type="spellEnd"/>
      <w:r w:rsidR="00DC5D6B" w:rsidRPr="001A67DA">
        <w:rPr>
          <w:rFonts w:ascii="Times New Roman" w:hAnsi="Times New Roman" w:cs="Times New Roman"/>
          <w:sz w:val="24"/>
        </w:rPr>
        <w:t xml:space="preserve"> odkupa </w:t>
      </w:r>
      <w:proofErr w:type="spellStart"/>
      <w:r w:rsidR="00DC5D6B" w:rsidRPr="001A67DA">
        <w:rPr>
          <w:rFonts w:ascii="Times New Roman" w:hAnsi="Times New Roman" w:cs="Times New Roman"/>
          <w:sz w:val="24"/>
        </w:rPr>
        <w:t>Autocommercea</w:t>
      </w:r>
      <w:proofErr w:type="spellEnd"/>
      <w:r w:rsidR="008C6982" w:rsidRPr="001A67DA">
        <w:rPr>
          <w:rFonts w:ascii="Times New Roman" w:hAnsi="Times New Roman" w:cs="Times New Roman"/>
          <w:sz w:val="24"/>
        </w:rPr>
        <w:t xml:space="preserve"> (sedanji ACH)</w:t>
      </w:r>
      <w:r w:rsidR="00DC5D6B" w:rsidRPr="001A67DA">
        <w:rPr>
          <w:rFonts w:ascii="Times New Roman" w:hAnsi="Times New Roman" w:cs="Times New Roman"/>
          <w:sz w:val="24"/>
        </w:rPr>
        <w:t xml:space="preserve"> leta 2005. Adria </w:t>
      </w:r>
      <w:proofErr w:type="spellStart"/>
      <w:r w:rsidR="00DC5D6B" w:rsidRPr="001A67DA">
        <w:rPr>
          <w:rFonts w:ascii="Times New Roman" w:hAnsi="Times New Roman" w:cs="Times New Roman"/>
          <w:sz w:val="24"/>
        </w:rPr>
        <w:t>Mobil</w:t>
      </w:r>
      <w:proofErr w:type="spellEnd"/>
      <w:r w:rsidR="00DC5D6B" w:rsidRPr="001A67DA">
        <w:rPr>
          <w:rFonts w:ascii="Times New Roman" w:hAnsi="Times New Roman" w:cs="Times New Roman"/>
          <w:sz w:val="24"/>
        </w:rPr>
        <w:t xml:space="preserve"> je </w:t>
      </w:r>
      <w:r w:rsidR="008C6982" w:rsidRPr="001A67DA">
        <w:rPr>
          <w:rFonts w:ascii="Times New Roman" w:hAnsi="Times New Roman" w:cs="Times New Roman"/>
          <w:sz w:val="24"/>
        </w:rPr>
        <w:t>namreč</w:t>
      </w:r>
      <w:r w:rsidR="00DC5D6B" w:rsidRPr="001A67DA">
        <w:rPr>
          <w:rFonts w:ascii="Times New Roman" w:hAnsi="Times New Roman" w:cs="Times New Roman"/>
          <w:sz w:val="24"/>
        </w:rPr>
        <w:t xml:space="preserve"> lasti ACH-ja, </w:t>
      </w:r>
      <w:r w:rsidR="008C6982" w:rsidRPr="001A67DA">
        <w:rPr>
          <w:rFonts w:ascii="Times New Roman" w:hAnsi="Times New Roman" w:cs="Times New Roman"/>
          <w:sz w:val="24"/>
        </w:rPr>
        <w:t xml:space="preserve">v njem je Sonja Gole (generalna direktorica </w:t>
      </w:r>
      <w:proofErr w:type="spellStart"/>
      <w:r w:rsidR="008C6982" w:rsidRPr="001A67DA">
        <w:rPr>
          <w:rFonts w:ascii="Times New Roman" w:hAnsi="Times New Roman" w:cs="Times New Roman"/>
          <w:sz w:val="24"/>
        </w:rPr>
        <w:t>Adrie</w:t>
      </w:r>
      <w:proofErr w:type="spellEnd"/>
      <w:r w:rsidR="008C6982" w:rsidRPr="001A67DA">
        <w:rPr>
          <w:rFonts w:ascii="Times New Roman" w:hAnsi="Times New Roman" w:cs="Times New Roman"/>
          <w:sz w:val="24"/>
        </w:rPr>
        <w:t xml:space="preserve"> </w:t>
      </w:r>
      <w:proofErr w:type="spellStart"/>
      <w:r w:rsidR="008C6982" w:rsidRPr="001A67DA">
        <w:rPr>
          <w:rFonts w:ascii="Times New Roman" w:hAnsi="Times New Roman" w:cs="Times New Roman"/>
          <w:sz w:val="24"/>
        </w:rPr>
        <w:t>Mobil</w:t>
      </w:r>
      <w:proofErr w:type="spellEnd"/>
      <w:r w:rsidR="008C6982" w:rsidRPr="001A67DA">
        <w:rPr>
          <w:rFonts w:ascii="Times New Roman" w:hAnsi="Times New Roman" w:cs="Times New Roman"/>
          <w:sz w:val="24"/>
        </w:rPr>
        <w:t xml:space="preserve">) preko družbe </w:t>
      </w:r>
      <w:proofErr w:type="spellStart"/>
      <w:r w:rsidR="008C6982" w:rsidRPr="001A67DA">
        <w:rPr>
          <w:rFonts w:ascii="Times New Roman" w:hAnsi="Times New Roman" w:cs="Times New Roman"/>
          <w:sz w:val="24"/>
        </w:rPr>
        <w:t>Protej</w:t>
      </w:r>
      <w:proofErr w:type="spellEnd"/>
      <w:r w:rsidR="008C6982" w:rsidRPr="001A67DA">
        <w:rPr>
          <w:rFonts w:ascii="Times New Roman" w:hAnsi="Times New Roman" w:cs="Times New Roman"/>
          <w:sz w:val="24"/>
        </w:rPr>
        <w:t xml:space="preserve"> z drugimi člani imela pomembno vlogo pri odkupu tega podjetja</w:t>
      </w:r>
      <w:r w:rsidR="00440F0E" w:rsidRPr="001A67DA">
        <w:rPr>
          <w:rFonts w:ascii="Times New Roman" w:hAnsi="Times New Roman" w:cs="Times New Roman"/>
          <w:sz w:val="24"/>
        </w:rPr>
        <w:t xml:space="preserve"> (</w:t>
      </w:r>
      <w:hyperlink r:id="rId12" w:history="1">
        <w:r w:rsidR="00440F0E" w:rsidRPr="001A67DA">
          <w:rPr>
            <w:rStyle w:val="Hyperlink"/>
            <w:rFonts w:ascii="Times New Roman" w:hAnsi="Times New Roman" w:cs="Times New Roman"/>
            <w:sz w:val="24"/>
          </w:rPr>
          <w:t>http://www.finance.si/287178</w:t>
        </w:r>
      </w:hyperlink>
      <w:r w:rsidR="00440F0E" w:rsidRPr="001A67DA">
        <w:rPr>
          <w:rFonts w:ascii="Times New Roman" w:hAnsi="Times New Roman" w:cs="Times New Roman"/>
          <w:sz w:val="24"/>
        </w:rPr>
        <w:t xml:space="preserve">). </w:t>
      </w:r>
      <w:r w:rsidR="003724E0" w:rsidRPr="001A67DA">
        <w:rPr>
          <w:rFonts w:ascii="Times New Roman" w:hAnsi="Times New Roman" w:cs="Times New Roman"/>
          <w:sz w:val="24"/>
        </w:rPr>
        <w:t>Amortizacija se bo, glede na to da gre za vlaganja v osnovna sredstva, povečevala za 10 – 20% letno (najnižja in najvišja amortizacijska stopnja). SAM v letnih poročilih sicer ne razkrivajo kakšne so dejanske amortizacijske stopnje za posamezno vrsto sredstev in kakšna je doba koristnosti. V izračunih smo za rast amortizacije vzeli, najmanjšo 10% stopnjo, to pa zato, ker smo poskušali večjo stopnjo nevtralizirati s prenehanjem amortiziranja določenega sredstva iz preteklosti.</w:t>
      </w:r>
      <w:r w:rsidR="00066103" w:rsidRPr="001A67DA">
        <w:rPr>
          <w:rFonts w:ascii="Times New Roman" w:hAnsi="Times New Roman" w:cs="Times New Roman"/>
          <w:sz w:val="24"/>
        </w:rPr>
        <w:t xml:space="preserve"> Neto investicije so enostavno razlika med amortizacijo in investicijami v osnovna sredstva.</w:t>
      </w:r>
      <w:r w:rsidR="003724E0" w:rsidRPr="001A67DA">
        <w:rPr>
          <w:rFonts w:ascii="Times New Roman" w:hAnsi="Times New Roman" w:cs="Times New Roman"/>
          <w:sz w:val="24"/>
        </w:rPr>
        <w:t xml:space="preserve"> </w:t>
      </w:r>
      <w:r w:rsidR="008C6982" w:rsidRPr="001A67DA">
        <w:rPr>
          <w:rFonts w:ascii="Times New Roman" w:hAnsi="Times New Roman" w:cs="Times New Roman"/>
          <w:sz w:val="24"/>
        </w:rPr>
        <w:t xml:space="preserve"> </w:t>
      </w:r>
      <w:r w:rsidR="00440F0E" w:rsidRPr="001A67DA">
        <w:rPr>
          <w:rFonts w:ascii="Times New Roman" w:hAnsi="Times New Roman" w:cs="Times New Roman"/>
          <w:sz w:val="24"/>
        </w:rPr>
        <w:t xml:space="preserve"> </w:t>
      </w:r>
    </w:p>
    <w:p w:rsidR="00273D8E" w:rsidRDefault="00D35108" w:rsidP="00AD6EDE">
      <w:pPr>
        <w:pStyle w:val="Heading3"/>
        <w:numPr>
          <w:ilvl w:val="2"/>
          <w:numId w:val="4"/>
        </w:numPr>
        <w:spacing w:before="0" w:after="120"/>
        <w:rPr>
          <w:sz w:val="24"/>
        </w:rPr>
      </w:pPr>
      <w:bookmarkStart w:id="6" w:name="_Toc327382747"/>
      <w:r w:rsidRPr="00446A80">
        <w:rPr>
          <w:sz w:val="24"/>
        </w:rPr>
        <w:t>Prihodki</w:t>
      </w:r>
      <w:bookmarkEnd w:id="6"/>
    </w:p>
    <w:tbl>
      <w:tblPr>
        <w:tblpPr w:leftFromText="141" w:rightFromText="141" w:vertAnchor="text" w:horzAnchor="margin" w:tblpXSpec="center" w:tblpY="407"/>
        <w:tblW w:w="6066" w:type="pct"/>
        <w:tblCellMar>
          <w:left w:w="70" w:type="dxa"/>
          <w:right w:w="70" w:type="dxa"/>
        </w:tblCellMar>
        <w:tblLook w:val="04A0" w:firstRow="1" w:lastRow="0" w:firstColumn="1" w:lastColumn="0" w:noHBand="0" w:noVBand="1"/>
      </w:tblPr>
      <w:tblGrid>
        <w:gridCol w:w="1864"/>
        <w:gridCol w:w="1164"/>
        <w:gridCol w:w="1164"/>
        <w:gridCol w:w="1164"/>
        <w:gridCol w:w="1164"/>
        <w:gridCol w:w="1164"/>
        <w:gridCol w:w="1164"/>
        <w:gridCol w:w="1164"/>
        <w:gridCol w:w="1164"/>
      </w:tblGrid>
      <w:tr w:rsidR="00273D8E" w:rsidRPr="002F79F0" w:rsidTr="00273D8E">
        <w:trPr>
          <w:trHeight w:val="437"/>
        </w:trPr>
        <w:tc>
          <w:tcPr>
            <w:tcW w:w="834" w:type="pct"/>
            <w:tcBorders>
              <w:bottom w:val="single" w:sz="4" w:space="0" w:color="auto"/>
              <w:right w:val="single" w:sz="4" w:space="0" w:color="auto"/>
            </w:tcBorders>
            <w:shd w:val="clear" w:color="auto" w:fill="auto"/>
            <w:noWrap/>
            <w:vAlign w:val="bottom"/>
            <w:hideMark/>
          </w:tcPr>
          <w:p w:rsidR="00273D8E" w:rsidRPr="002F79F0" w:rsidRDefault="00273D8E" w:rsidP="00273D8E">
            <w:pPr>
              <w:spacing w:after="0" w:line="240" w:lineRule="auto"/>
              <w:rPr>
                <w:rFonts w:ascii="Arial" w:eastAsia="Times New Roman" w:hAnsi="Arial" w:cs="Arial"/>
                <w:sz w:val="20"/>
                <w:szCs w:val="20"/>
                <w:lang w:eastAsia="sl-SI"/>
              </w:rPr>
            </w:pPr>
            <w:r w:rsidRPr="002F79F0">
              <w:rPr>
                <w:rFonts w:ascii="Arial" w:eastAsia="Times New Roman" w:hAnsi="Arial" w:cs="Arial"/>
                <w:sz w:val="20"/>
                <w:szCs w:val="20"/>
                <w:lang w:eastAsia="sl-SI"/>
              </w:rPr>
              <w:t> </w:t>
            </w:r>
          </w:p>
        </w:tc>
        <w:tc>
          <w:tcPr>
            <w:tcW w:w="521" w:type="pct"/>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273D8E" w:rsidRPr="00F5171F" w:rsidRDefault="00273D8E" w:rsidP="00273D8E">
            <w:pPr>
              <w:spacing w:after="0" w:line="240" w:lineRule="auto"/>
              <w:jc w:val="right"/>
              <w:rPr>
                <w:rFonts w:ascii="Arial" w:eastAsia="Times New Roman" w:hAnsi="Arial" w:cs="Arial"/>
                <w:sz w:val="20"/>
                <w:szCs w:val="20"/>
                <w:lang w:eastAsia="sl-SI"/>
              </w:rPr>
            </w:pPr>
            <w:r w:rsidRPr="00F5171F">
              <w:rPr>
                <w:rFonts w:ascii="Arial" w:eastAsia="Times New Roman" w:hAnsi="Arial" w:cs="Arial"/>
                <w:sz w:val="20"/>
                <w:szCs w:val="20"/>
                <w:lang w:eastAsia="sl-SI"/>
              </w:rPr>
              <w:t>2009</w:t>
            </w:r>
          </w:p>
        </w:tc>
        <w:tc>
          <w:tcPr>
            <w:tcW w:w="521" w:type="pct"/>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273D8E" w:rsidRPr="00F5171F" w:rsidRDefault="00273D8E" w:rsidP="00273D8E">
            <w:pPr>
              <w:spacing w:after="0" w:line="240" w:lineRule="auto"/>
              <w:jc w:val="right"/>
              <w:rPr>
                <w:rFonts w:ascii="Arial" w:eastAsia="Times New Roman" w:hAnsi="Arial" w:cs="Arial"/>
                <w:sz w:val="20"/>
                <w:szCs w:val="20"/>
                <w:lang w:eastAsia="sl-SI"/>
              </w:rPr>
            </w:pPr>
            <w:r w:rsidRPr="00F5171F">
              <w:rPr>
                <w:rFonts w:ascii="Arial" w:eastAsia="Times New Roman" w:hAnsi="Arial" w:cs="Arial"/>
                <w:sz w:val="20"/>
                <w:szCs w:val="20"/>
                <w:lang w:eastAsia="sl-SI"/>
              </w:rPr>
              <w:t>2010</w:t>
            </w:r>
          </w:p>
        </w:tc>
        <w:tc>
          <w:tcPr>
            <w:tcW w:w="521" w:type="pct"/>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273D8E" w:rsidRPr="00F5171F" w:rsidRDefault="00273D8E" w:rsidP="00273D8E">
            <w:pPr>
              <w:spacing w:after="0" w:line="240" w:lineRule="auto"/>
              <w:jc w:val="right"/>
              <w:rPr>
                <w:rFonts w:ascii="Arial" w:eastAsia="Times New Roman" w:hAnsi="Arial" w:cs="Arial"/>
                <w:sz w:val="20"/>
                <w:szCs w:val="20"/>
                <w:lang w:eastAsia="sl-SI"/>
              </w:rPr>
            </w:pPr>
            <w:r w:rsidRPr="00F5171F">
              <w:rPr>
                <w:rFonts w:ascii="Arial" w:eastAsia="Times New Roman" w:hAnsi="Arial" w:cs="Arial"/>
                <w:sz w:val="20"/>
                <w:szCs w:val="20"/>
                <w:lang w:eastAsia="sl-SI"/>
              </w:rPr>
              <w:t>2011</w:t>
            </w:r>
          </w:p>
        </w:tc>
        <w:tc>
          <w:tcPr>
            <w:tcW w:w="521" w:type="pct"/>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273D8E" w:rsidRPr="00F5171F" w:rsidRDefault="00273D8E" w:rsidP="00273D8E">
            <w:pPr>
              <w:spacing w:after="0" w:line="240" w:lineRule="auto"/>
              <w:jc w:val="right"/>
              <w:rPr>
                <w:rFonts w:ascii="Arial" w:eastAsia="Times New Roman" w:hAnsi="Arial" w:cs="Arial"/>
                <w:sz w:val="20"/>
                <w:szCs w:val="20"/>
                <w:lang w:eastAsia="sl-SI"/>
              </w:rPr>
            </w:pPr>
            <w:r w:rsidRPr="00F5171F">
              <w:rPr>
                <w:rFonts w:ascii="Arial" w:eastAsia="Times New Roman" w:hAnsi="Arial" w:cs="Arial"/>
                <w:sz w:val="20"/>
                <w:szCs w:val="20"/>
                <w:lang w:eastAsia="sl-SI"/>
              </w:rPr>
              <w:t>2012</w:t>
            </w:r>
          </w:p>
        </w:tc>
        <w:tc>
          <w:tcPr>
            <w:tcW w:w="521" w:type="pct"/>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273D8E" w:rsidRPr="00F5171F" w:rsidRDefault="00273D8E" w:rsidP="00273D8E">
            <w:pPr>
              <w:spacing w:after="0" w:line="240" w:lineRule="auto"/>
              <w:jc w:val="right"/>
              <w:rPr>
                <w:rFonts w:ascii="Arial" w:eastAsia="Times New Roman" w:hAnsi="Arial" w:cs="Arial"/>
                <w:sz w:val="20"/>
                <w:szCs w:val="20"/>
                <w:lang w:eastAsia="sl-SI"/>
              </w:rPr>
            </w:pPr>
            <w:r w:rsidRPr="00F5171F">
              <w:rPr>
                <w:rFonts w:ascii="Arial" w:eastAsia="Times New Roman" w:hAnsi="Arial" w:cs="Arial"/>
                <w:sz w:val="20"/>
                <w:szCs w:val="20"/>
                <w:lang w:eastAsia="sl-SI"/>
              </w:rPr>
              <w:t>2013</w:t>
            </w:r>
          </w:p>
        </w:tc>
        <w:tc>
          <w:tcPr>
            <w:tcW w:w="521" w:type="pct"/>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273D8E" w:rsidRPr="00F5171F" w:rsidRDefault="00273D8E" w:rsidP="00273D8E">
            <w:pPr>
              <w:spacing w:after="0" w:line="240" w:lineRule="auto"/>
              <w:jc w:val="right"/>
              <w:rPr>
                <w:rFonts w:ascii="Arial" w:eastAsia="Times New Roman" w:hAnsi="Arial" w:cs="Arial"/>
                <w:sz w:val="20"/>
                <w:szCs w:val="20"/>
                <w:lang w:eastAsia="sl-SI"/>
              </w:rPr>
            </w:pPr>
            <w:r w:rsidRPr="00F5171F">
              <w:rPr>
                <w:rFonts w:ascii="Arial" w:eastAsia="Times New Roman" w:hAnsi="Arial" w:cs="Arial"/>
                <w:sz w:val="20"/>
                <w:szCs w:val="20"/>
                <w:lang w:eastAsia="sl-SI"/>
              </w:rPr>
              <w:t>2014</w:t>
            </w:r>
          </w:p>
        </w:tc>
        <w:tc>
          <w:tcPr>
            <w:tcW w:w="521" w:type="pct"/>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273D8E" w:rsidRPr="00F5171F" w:rsidRDefault="00273D8E" w:rsidP="00273D8E">
            <w:pPr>
              <w:spacing w:after="0" w:line="240" w:lineRule="auto"/>
              <w:jc w:val="right"/>
              <w:rPr>
                <w:rFonts w:ascii="Arial" w:eastAsia="Times New Roman" w:hAnsi="Arial" w:cs="Arial"/>
                <w:sz w:val="20"/>
                <w:szCs w:val="20"/>
                <w:lang w:eastAsia="sl-SI"/>
              </w:rPr>
            </w:pPr>
            <w:r w:rsidRPr="00F5171F">
              <w:rPr>
                <w:rFonts w:ascii="Arial" w:eastAsia="Times New Roman" w:hAnsi="Arial" w:cs="Arial"/>
                <w:sz w:val="20"/>
                <w:szCs w:val="20"/>
                <w:lang w:eastAsia="sl-SI"/>
              </w:rPr>
              <w:t>2015</w:t>
            </w:r>
          </w:p>
        </w:tc>
        <w:tc>
          <w:tcPr>
            <w:tcW w:w="521" w:type="pct"/>
            <w:tcBorders>
              <w:top w:val="single" w:sz="8" w:space="0" w:color="auto"/>
              <w:left w:val="nil"/>
              <w:bottom w:val="single" w:sz="4" w:space="0" w:color="auto"/>
              <w:right w:val="single" w:sz="8" w:space="0" w:color="auto"/>
            </w:tcBorders>
            <w:shd w:val="clear" w:color="auto" w:fill="E5B8B7" w:themeFill="accent2" w:themeFillTint="66"/>
            <w:noWrap/>
            <w:vAlign w:val="bottom"/>
            <w:hideMark/>
          </w:tcPr>
          <w:p w:rsidR="00273D8E" w:rsidRPr="00F5171F" w:rsidRDefault="00273D8E" w:rsidP="00273D8E">
            <w:pPr>
              <w:spacing w:after="0" w:line="240" w:lineRule="auto"/>
              <w:jc w:val="right"/>
              <w:rPr>
                <w:rFonts w:ascii="Arial" w:eastAsia="Times New Roman" w:hAnsi="Arial" w:cs="Arial"/>
                <w:sz w:val="20"/>
                <w:szCs w:val="20"/>
                <w:lang w:eastAsia="sl-SI"/>
              </w:rPr>
            </w:pPr>
            <w:r w:rsidRPr="00F5171F">
              <w:rPr>
                <w:rFonts w:ascii="Arial" w:eastAsia="Times New Roman" w:hAnsi="Arial" w:cs="Arial"/>
                <w:sz w:val="20"/>
                <w:szCs w:val="20"/>
                <w:lang w:eastAsia="sl-SI"/>
              </w:rPr>
              <w:t>2016</w:t>
            </w:r>
          </w:p>
        </w:tc>
      </w:tr>
      <w:tr w:rsidR="00273D8E" w:rsidRPr="002F79F0" w:rsidTr="00273D8E">
        <w:trPr>
          <w:trHeight w:val="437"/>
        </w:trPr>
        <w:tc>
          <w:tcPr>
            <w:tcW w:w="834" w:type="pct"/>
            <w:tcBorders>
              <w:top w:val="nil"/>
              <w:left w:val="single" w:sz="8" w:space="0" w:color="auto"/>
              <w:bottom w:val="single" w:sz="4" w:space="0" w:color="auto"/>
              <w:right w:val="single" w:sz="4" w:space="0" w:color="auto"/>
            </w:tcBorders>
            <w:shd w:val="clear" w:color="auto" w:fill="E5B8B7" w:themeFill="accent2" w:themeFillTint="66"/>
            <w:noWrap/>
            <w:vAlign w:val="bottom"/>
            <w:hideMark/>
          </w:tcPr>
          <w:p w:rsidR="00273D8E" w:rsidRPr="00F5171F" w:rsidRDefault="00273D8E" w:rsidP="00273D8E">
            <w:pPr>
              <w:spacing w:after="0" w:line="240" w:lineRule="auto"/>
              <w:rPr>
                <w:rFonts w:ascii="Arial" w:eastAsia="Times New Roman" w:hAnsi="Arial" w:cs="Arial"/>
                <w:sz w:val="20"/>
                <w:szCs w:val="20"/>
                <w:lang w:eastAsia="sl-SI"/>
              </w:rPr>
            </w:pPr>
            <w:r w:rsidRPr="00F5171F">
              <w:rPr>
                <w:rFonts w:ascii="Arial" w:eastAsia="Times New Roman" w:hAnsi="Arial" w:cs="Arial"/>
                <w:sz w:val="20"/>
                <w:szCs w:val="20"/>
                <w:lang w:eastAsia="sl-SI"/>
              </w:rPr>
              <w:t>Prihodki od prodaje</w:t>
            </w:r>
          </w:p>
        </w:tc>
        <w:tc>
          <w:tcPr>
            <w:tcW w:w="521" w:type="pct"/>
            <w:tcBorders>
              <w:top w:val="nil"/>
              <w:left w:val="nil"/>
              <w:bottom w:val="single" w:sz="4" w:space="0" w:color="auto"/>
              <w:right w:val="single" w:sz="4" w:space="0" w:color="auto"/>
            </w:tcBorders>
            <w:shd w:val="clear" w:color="auto" w:fill="auto"/>
            <w:noWrap/>
            <w:vAlign w:val="bottom"/>
            <w:hideMark/>
          </w:tcPr>
          <w:p w:rsidR="00273D8E" w:rsidRPr="00F5171F" w:rsidRDefault="00273D8E" w:rsidP="00273D8E">
            <w:pPr>
              <w:spacing w:after="0" w:line="240" w:lineRule="auto"/>
              <w:jc w:val="right"/>
              <w:rPr>
                <w:rFonts w:ascii="Arial" w:eastAsia="Times New Roman" w:hAnsi="Arial" w:cs="Arial"/>
                <w:sz w:val="16"/>
                <w:szCs w:val="20"/>
                <w:lang w:eastAsia="sl-SI"/>
              </w:rPr>
            </w:pPr>
            <w:r w:rsidRPr="00F5171F">
              <w:rPr>
                <w:rFonts w:ascii="Arial" w:eastAsia="Times New Roman" w:hAnsi="Arial" w:cs="Arial"/>
                <w:sz w:val="16"/>
                <w:szCs w:val="20"/>
                <w:lang w:eastAsia="sl-SI"/>
              </w:rPr>
              <w:t>200.432.135 €</w:t>
            </w:r>
          </w:p>
        </w:tc>
        <w:tc>
          <w:tcPr>
            <w:tcW w:w="521" w:type="pct"/>
            <w:tcBorders>
              <w:top w:val="nil"/>
              <w:left w:val="nil"/>
              <w:bottom w:val="single" w:sz="4" w:space="0" w:color="auto"/>
              <w:right w:val="single" w:sz="4" w:space="0" w:color="auto"/>
            </w:tcBorders>
            <w:shd w:val="clear" w:color="auto" w:fill="auto"/>
            <w:noWrap/>
            <w:vAlign w:val="bottom"/>
            <w:hideMark/>
          </w:tcPr>
          <w:p w:rsidR="00273D8E" w:rsidRPr="00F5171F" w:rsidRDefault="00273D8E" w:rsidP="00273D8E">
            <w:pPr>
              <w:spacing w:after="0" w:line="240" w:lineRule="auto"/>
              <w:jc w:val="right"/>
              <w:rPr>
                <w:rFonts w:ascii="Arial" w:eastAsia="Times New Roman" w:hAnsi="Arial" w:cs="Arial"/>
                <w:sz w:val="16"/>
                <w:szCs w:val="20"/>
                <w:lang w:eastAsia="sl-SI"/>
              </w:rPr>
            </w:pPr>
            <w:r w:rsidRPr="00F5171F">
              <w:rPr>
                <w:rFonts w:ascii="Arial" w:eastAsia="Times New Roman" w:hAnsi="Arial" w:cs="Arial"/>
                <w:sz w:val="16"/>
                <w:szCs w:val="20"/>
                <w:lang w:eastAsia="sl-SI"/>
              </w:rPr>
              <w:t>236.668.810 €</w:t>
            </w:r>
          </w:p>
        </w:tc>
        <w:tc>
          <w:tcPr>
            <w:tcW w:w="521" w:type="pct"/>
            <w:tcBorders>
              <w:top w:val="nil"/>
              <w:left w:val="nil"/>
              <w:bottom w:val="single" w:sz="4" w:space="0" w:color="auto"/>
              <w:right w:val="single" w:sz="4" w:space="0" w:color="auto"/>
            </w:tcBorders>
            <w:shd w:val="clear" w:color="auto" w:fill="auto"/>
            <w:noWrap/>
            <w:vAlign w:val="bottom"/>
            <w:hideMark/>
          </w:tcPr>
          <w:p w:rsidR="00273D8E" w:rsidRPr="00F5171F" w:rsidRDefault="00273D8E" w:rsidP="00273D8E">
            <w:pPr>
              <w:spacing w:after="0" w:line="240" w:lineRule="auto"/>
              <w:jc w:val="right"/>
              <w:rPr>
                <w:rFonts w:ascii="Arial" w:eastAsia="Times New Roman" w:hAnsi="Arial" w:cs="Arial"/>
                <w:sz w:val="16"/>
                <w:szCs w:val="20"/>
                <w:lang w:eastAsia="sl-SI"/>
              </w:rPr>
            </w:pPr>
            <w:r w:rsidRPr="00F5171F">
              <w:rPr>
                <w:rFonts w:ascii="Arial" w:eastAsia="Times New Roman" w:hAnsi="Arial" w:cs="Arial"/>
                <w:sz w:val="16"/>
                <w:szCs w:val="20"/>
                <w:lang w:eastAsia="sl-SI"/>
              </w:rPr>
              <w:t>267.435.755 €</w:t>
            </w:r>
          </w:p>
        </w:tc>
        <w:tc>
          <w:tcPr>
            <w:tcW w:w="521" w:type="pct"/>
            <w:tcBorders>
              <w:top w:val="nil"/>
              <w:left w:val="nil"/>
              <w:bottom w:val="single" w:sz="4" w:space="0" w:color="auto"/>
              <w:right w:val="single" w:sz="4" w:space="0" w:color="auto"/>
            </w:tcBorders>
            <w:shd w:val="clear" w:color="auto" w:fill="auto"/>
            <w:noWrap/>
            <w:vAlign w:val="bottom"/>
            <w:hideMark/>
          </w:tcPr>
          <w:p w:rsidR="00273D8E" w:rsidRPr="00F5171F" w:rsidRDefault="00273D8E" w:rsidP="00273D8E">
            <w:pPr>
              <w:spacing w:after="0" w:line="240" w:lineRule="auto"/>
              <w:jc w:val="right"/>
              <w:rPr>
                <w:rFonts w:ascii="Arial" w:eastAsia="Times New Roman" w:hAnsi="Arial" w:cs="Arial"/>
                <w:sz w:val="16"/>
                <w:szCs w:val="20"/>
                <w:lang w:eastAsia="sl-SI"/>
              </w:rPr>
            </w:pPr>
            <w:r w:rsidRPr="00F5171F">
              <w:rPr>
                <w:rFonts w:ascii="Arial" w:eastAsia="Times New Roman" w:hAnsi="Arial" w:cs="Arial"/>
                <w:sz w:val="16"/>
                <w:szCs w:val="20"/>
                <w:lang w:eastAsia="sl-SI"/>
              </w:rPr>
              <w:t>280.807.543 €</w:t>
            </w:r>
          </w:p>
        </w:tc>
        <w:tc>
          <w:tcPr>
            <w:tcW w:w="521" w:type="pct"/>
            <w:tcBorders>
              <w:top w:val="nil"/>
              <w:left w:val="nil"/>
              <w:bottom w:val="single" w:sz="4" w:space="0" w:color="auto"/>
              <w:right w:val="single" w:sz="4" w:space="0" w:color="auto"/>
            </w:tcBorders>
            <w:shd w:val="clear" w:color="auto" w:fill="auto"/>
            <w:noWrap/>
            <w:vAlign w:val="bottom"/>
            <w:hideMark/>
          </w:tcPr>
          <w:p w:rsidR="00273D8E" w:rsidRPr="00F5171F" w:rsidRDefault="00273D8E" w:rsidP="00273D8E">
            <w:pPr>
              <w:spacing w:after="0" w:line="240" w:lineRule="auto"/>
              <w:jc w:val="right"/>
              <w:rPr>
                <w:rFonts w:ascii="Arial" w:eastAsia="Times New Roman" w:hAnsi="Arial" w:cs="Arial"/>
                <w:sz w:val="16"/>
                <w:szCs w:val="20"/>
                <w:lang w:eastAsia="sl-SI"/>
              </w:rPr>
            </w:pPr>
            <w:r w:rsidRPr="00F5171F">
              <w:rPr>
                <w:rFonts w:ascii="Arial" w:eastAsia="Times New Roman" w:hAnsi="Arial" w:cs="Arial"/>
                <w:sz w:val="16"/>
                <w:szCs w:val="20"/>
                <w:lang w:eastAsia="sl-SI"/>
              </w:rPr>
              <w:t>300.464.071 €</w:t>
            </w:r>
          </w:p>
        </w:tc>
        <w:tc>
          <w:tcPr>
            <w:tcW w:w="521" w:type="pct"/>
            <w:tcBorders>
              <w:top w:val="nil"/>
              <w:left w:val="nil"/>
              <w:bottom w:val="single" w:sz="4" w:space="0" w:color="auto"/>
              <w:right w:val="single" w:sz="4" w:space="0" w:color="auto"/>
            </w:tcBorders>
            <w:shd w:val="clear" w:color="auto" w:fill="auto"/>
            <w:noWrap/>
            <w:vAlign w:val="bottom"/>
            <w:hideMark/>
          </w:tcPr>
          <w:p w:rsidR="00273D8E" w:rsidRPr="00F5171F" w:rsidRDefault="00273D8E" w:rsidP="00273D8E">
            <w:pPr>
              <w:spacing w:after="0" w:line="240" w:lineRule="auto"/>
              <w:jc w:val="right"/>
              <w:rPr>
                <w:rFonts w:ascii="Arial" w:eastAsia="Times New Roman" w:hAnsi="Arial" w:cs="Arial"/>
                <w:sz w:val="16"/>
                <w:szCs w:val="20"/>
                <w:lang w:eastAsia="sl-SI"/>
              </w:rPr>
            </w:pPr>
            <w:r w:rsidRPr="00F5171F">
              <w:rPr>
                <w:rFonts w:ascii="Arial" w:eastAsia="Times New Roman" w:hAnsi="Arial" w:cs="Arial"/>
                <w:sz w:val="16"/>
                <w:szCs w:val="20"/>
                <w:lang w:eastAsia="sl-SI"/>
              </w:rPr>
              <w:t>318.491.915 €</w:t>
            </w:r>
          </w:p>
        </w:tc>
        <w:tc>
          <w:tcPr>
            <w:tcW w:w="521" w:type="pct"/>
            <w:tcBorders>
              <w:top w:val="nil"/>
              <w:left w:val="nil"/>
              <w:bottom w:val="single" w:sz="4" w:space="0" w:color="auto"/>
              <w:right w:val="single" w:sz="4" w:space="0" w:color="auto"/>
            </w:tcBorders>
            <w:shd w:val="clear" w:color="auto" w:fill="auto"/>
            <w:noWrap/>
            <w:vAlign w:val="bottom"/>
            <w:hideMark/>
          </w:tcPr>
          <w:p w:rsidR="00273D8E" w:rsidRPr="00F5171F" w:rsidRDefault="00273D8E" w:rsidP="00273D8E">
            <w:pPr>
              <w:spacing w:after="0" w:line="240" w:lineRule="auto"/>
              <w:jc w:val="right"/>
              <w:rPr>
                <w:rFonts w:ascii="Arial" w:eastAsia="Times New Roman" w:hAnsi="Arial" w:cs="Arial"/>
                <w:sz w:val="16"/>
                <w:szCs w:val="20"/>
                <w:lang w:eastAsia="sl-SI"/>
              </w:rPr>
            </w:pPr>
            <w:r w:rsidRPr="00F5171F">
              <w:rPr>
                <w:rFonts w:ascii="Arial" w:eastAsia="Times New Roman" w:hAnsi="Arial" w:cs="Arial"/>
                <w:sz w:val="16"/>
                <w:szCs w:val="20"/>
                <w:lang w:eastAsia="sl-SI"/>
              </w:rPr>
              <w:t>337.601.430 €</w:t>
            </w:r>
          </w:p>
        </w:tc>
        <w:tc>
          <w:tcPr>
            <w:tcW w:w="521" w:type="pct"/>
            <w:tcBorders>
              <w:top w:val="nil"/>
              <w:left w:val="nil"/>
              <w:bottom w:val="single" w:sz="4" w:space="0" w:color="auto"/>
              <w:right w:val="single" w:sz="8" w:space="0" w:color="auto"/>
            </w:tcBorders>
            <w:shd w:val="clear" w:color="auto" w:fill="auto"/>
            <w:noWrap/>
            <w:vAlign w:val="bottom"/>
            <w:hideMark/>
          </w:tcPr>
          <w:p w:rsidR="00273D8E" w:rsidRPr="00F5171F" w:rsidRDefault="00273D8E" w:rsidP="00273D8E">
            <w:pPr>
              <w:spacing w:after="0" w:line="240" w:lineRule="auto"/>
              <w:jc w:val="right"/>
              <w:rPr>
                <w:rFonts w:ascii="Arial" w:eastAsia="Times New Roman" w:hAnsi="Arial" w:cs="Arial"/>
                <w:sz w:val="16"/>
                <w:szCs w:val="20"/>
                <w:lang w:eastAsia="sl-SI"/>
              </w:rPr>
            </w:pPr>
            <w:r w:rsidRPr="00F5171F">
              <w:rPr>
                <w:rFonts w:ascii="Arial" w:eastAsia="Times New Roman" w:hAnsi="Arial" w:cs="Arial"/>
                <w:sz w:val="16"/>
                <w:szCs w:val="20"/>
                <w:lang w:eastAsia="sl-SI"/>
              </w:rPr>
              <w:t>344.353.458 €</w:t>
            </w:r>
          </w:p>
        </w:tc>
      </w:tr>
      <w:tr w:rsidR="00273D8E" w:rsidRPr="002F79F0" w:rsidTr="00273D8E">
        <w:trPr>
          <w:trHeight w:val="437"/>
        </w:trPr>
        <w:tc>
          <w:tcPr>
            <w:tcW w:w="834" w:type="pct"/>
            <w:tcBorders>
              <w:top w:val="single" w:sz="4" w:space="0" w:color="auto"/>
              <w:left w:val="single" w:sz="8" w:space="0" w:color="auto"/>
              <w:bottom w:val="single" w:sz="4" w:space="0" w:color="auto"/>
              <w:right w:val="nil"/>
            </w:tcBorders>
            <w:shd w:val="clear" w:color="auto" w:fill="E5B8B7" w:themeFill="accent2" w:themeFillTint="66"/>
            <w:noWrap/>
            <w:vAlign w:val="bottom"/>
            <w:hideMark/>
          </w:tcPr>
          <w:p w:rsidR="00273D8E" w:rsidRPr="00F5171F" w:rsidRDefault="00273D8E" w:rsidP="00273D8E">
            <w:pPr>
              <w:spacing w:after="0" w:line="240" w:lineRule="auto"/>
              <w:rPr>
                <w:rFonts w:ascii="Arial" w:eastAsia="Times New Roman" w:hAnsi="Arial" w:cs="Arial"/>
                <w:sz w:val="20"/>
                <w:szCs w:val="20"/>
                <w:lang w:eastAsia="sl-SI"/>
              </w:rPr>
            </w:pPr>
            <w:r w:rsidRPr="00F5171F">
              <w:rPr>
                <w:rFonts w:ascii="Arial" w:eastAsia="Times New Roman" w:hAnsi="Arial" w:cs="Arial"/>
                <w:sz w:val="20"/>
                <w:szCs w:val="20"/>
                <w:lang w:eastAsia="sl-SI"/>
              </w:rPr>
              <w:t>Rast</w:t>
            </w:r>
          </w:p>
        </w:tc>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273D8E" w:rsidRPr="00F5171F" w:rsidRDefault="00273D8E" w:rsidP="00273D8E">
            <w:pPr>
              <w:spacing w:after="0" w:line="240" w:lineRule="auto"/>
              <w:jc w:val="right"/>
              <w:rPr>
                <w:rFonts w:ascii="Arial" w:eastAsia="Times New Roman" w:hAnsi="Arial" w:cs="Arial"/>
                <w:sz w:val="16"/>
                <w:szCs w:val="20"/>
                <w:lang w:eastAsia="sl-SI"/>
              </w:rPr>
            </w:pPr>
            <w:r w:rsidRPr="00F5171F">
              <w:rPr>
                <w:rFonts w:ascii="Arial" w:eastAsia="Times New Roman" w:hAnsi="Arial" w:cs="Arial"/>
                <w:sz w:val="16"/>
                <w:szCs w:val="20"/>
                <w:lang w:eastAsia="sl-SI"/>
              </w:rPr>
              <w:t> </w:t>
            </w:r>
          </w:p>
        </w:tc>
        <w:tc>
          <w:tcPr>
            <w:tcW w:w="521" w:type="pct"/>
            <w:tcBorders>
              <w:top w:val="nil"/>
              <w:left w:val="nil"/>
              <w:bottom w:val="single" w:sz="4" w:space="0" w:color="auto"/>
              <w:right w:val="single" w:sz="4" w:space="0" w:color="auto"/>
            </w:tcBorders>
            <w:shd w:val="clear" w:color="auto" w:fill="auto"/>
            <w:noWrap/>
            <w:vAlign w:val="bottom"/>
            <w:hideMark/>
          </w:tcPr>
          <w:p w:rsidR="00273D8E" w:rsidRPr="00F5171F" w:rsidRDefault="00273D8E" w:rsidP="00273D8E">
            <w:pPr>
              <w:spacing w:after="0" w:line="240" w:lineRule="auto"/>
              <w:jc w:val="right"/>
              <w:rPr>
                <w:rFonts w:ascii="Arial" w:eastAsia="Times New Roman" w:hAnsi="Arial" w:cs="Arial"/>
                <w:sz w:val="16"/>
                <w:szCs w:val="20"/>
                <w:lang w:eastAsia="sl-SI"/>
              </w:rPr>
            </w:pPr>
            <w:r w:rsidRPr="00F5171F">
              <w:rPr>
                <w:rFonts w:ascii="Arial" w:eastAsia="Times New Roman" w:hAnsi="Arial" w:cs="Arial"/>
                <w:sz w:val="16"/>
                <w:szCs w:val="20"/>
                <w:lang w:eastAsia="sl-SI"/>
              </w:rPr>
              <w:t>1,18</w:t>
            </w:r>
          </w:p>
        </w:tc>
        <w:tc>
          <w:tcPr>
            <w:tcW w:w="521" w:type="pct"/>
            <w:tcBorders>
              <w:top w:val="nil"/>
              <w:left w:val="nil"/>
              <w:bottom w:val="single" w:sz="4" w:space="0" w:color="auto"/>
              <w:right w:val="single" w:sz="4" w:space="0" w:color="auto"/>
            </w:tcBorders>
            <w:shd w:val="clear" w:color="auto" w:fill="auto"/>
            <w:noWrap/>
            <w:vAlign w:val="bottom"/>
            <w:hideMark/>
          </w:tcPr>
          <w:p w:rsidR="00273D8E" w:rsidRPr="00F5171F" w:rsidRDefault="00273D8E" w:rsidP="00273D8E">
            <w:pPr>
              <w:spacing w:after="0" w:line="240" w:lineRule="auto"/>
              <w:jc w:val="right"/>
              <w:rPr>
                <w:rFonts w:ascii="Arial" w:eastAsia="Times New Roman" w:hAnsi="Arial" w:cs="Arial"/>
                <w:sz w:val="16"/>
                <w:szCs w:val="20"/>
                <w:lang w:eastAsia="sl-SI"/>
              </w:rPr>
            </w:pPr>
            <w:r w:rsidRPr="00F5171F">
              <w:rPr>
                <w:rFonts w:ascii="Arial" w:eastAsia="Times New Roman" w:hAnsi="Arial" w:cs="Arial"/>
                <w:sz w:val="16"/>
                <w:szCs w:val="20"/>
                <w:lang w:eastAsia="sl-SI"/>
              </w:rPr>
              <w:t>1,13</w:t>
            </w:r>
          </w:p>
        </w:tc>
        <w:tc>
          <w:tcPr>
            <w:tcW w:w="521" w:type="pct"/>
            <w:tcBorders>
              <w:top w:val="nil"/>
              <w:left w:val="nil"/>
              <w:bottom w:val="single" w:sz="4" w:space="0" w:color="auto"/>
              <w:right w:val="single" w:sz="4" w:space="0" w:color="auto"/>
            </w:tcBorders>
            <w:shd w:val="clear" w:color="auto" w:fill="auto"/>
            <w:noWrap/>
            <w:vAlign w:val="bottom"/>
            <w:hideMark/>
          </w:tcPr>
          <w:p w:rsidR="00273D8E" w:rsidRPr="00F5171F" w:rsidRDefault="00273D8E" w:rsidP="00273D8E">
            <w:pPr>
              <w:spacing w:after="0" w:line="240" w:lineRule="auto"/>
              <w:jc w:val="right"/>
              <w:rPr>
                <w:rFonts w:ascii="Arial" w:eastAsia="Times New Roman" w:hAnsi="Arial" w:cs="Arial"/>
                <w:sz w:val="16"/>
                <w:szCs w:val="20"/>
                <w:lang w:eastAsia="sl-SI"/>
              </w:rPr>
            </w:pPr>
            <w:r w:rsidRPr="00F5171F">
              <w:rPr>
                <w:rFonts w:ascii="Arial" w:eastAsia="Times New Roman" w:hAnsi="Arial" w:cs="Arial"/>
                <w:sz w:val="16"/>
                <w:szCs w:val="20"/>
                <w:lang w:eastAsia="sl-SI"/>
              </w:rPr>
              <w:t>1,05</w:t>
            </w:r>
          </w:p>
        </w:tc>
        <w:tc>
          <w:tcPr>
            <w:tcW w:w="521" w:type="pct"/>
            <w:tcBorders>
              <w:top w:val="nil"/>
              <w:left w:val="nil"/>
              <w:bottom w:val="single" w:sz="4" w:space="0" w:color="auto"/>
              <w:right w:val="single" w:sz="4" w:space="0" w:color="auto"/>
            </w:tcBorders>
            <w:shd w:val="clear" w:color="auto" w:fill="auto"/>
            <w:noWrap/>
            <w:vAlign w:val="bottom"/>
            <w:hideMark/>
          </w:tcPr>
          <w:p w:rsidR="00273D8E" w:rsidRPr="00F5171F" w:rsidRDefault="00273D8E" w:rsidP="00273D8E">
            <w:pPr>
              <w:spacing w:after="0" w:line="240" w:lineRule="auto"/>
              <w:jc w:val="right"/>
              <w:rPr>
                <w:rFonts w:ascii="Arial" w:eastAsia="Times New Roman" w:hAnsi="Arial" w:cs="Arial"/>
                <w:sz w:val="16"/>
                <w:szCs w:val="20"/>
                <w:lang w:eastAsia="sl-SI"/>
              </w:rPr>
            </w:pPr>
            <w:r w:rsidRPr="00F5171F">
              <w:rPr>
                <w:rFonts w:ascii="Arial" w:eastAsia="Times New Roman" w:hAnsi="Arial" w:cs="Arial"/>
                <w:sz w:val="16"/>
                <w:szCs w:val="20"/>
                <w:lang w:eastAsia="sl-SI"/>
              </w:rPr>
              <w:t>1,07</w:t>
            </w:r>
          </w:p>
        </w:tc>
        <w:tc>
          <w:tcPr>
            <w:tcW w:w="521" w:type="pct"/>
            <w:tcBorders>
              <w:top w:val="nil"/>
              <w:left w:val="nil"/>
              <w:bottom w:val="single" w:sz="4" w:space="0" w:color="auto"/>
              <w:right w:val="single" w:sz="4" w:space="0" w:color="auto"/>
            </w:tcBorders>
            <w:shd w:val="clear" w:color="auto" w:fill="auto"/>
            <w:noWrap/>
            <w:vAlign w:val="bottom"/>
            <w:hideMark/>
          </w:tcPr>
          <w:p w:rsidR="00273D8E" w:rsidRPr="00F5171F" w:rsidRDefault="00273D8E" w:rsidP="00273D8E">
            <w:pPr>
              <w:spacing w:after="0" w:line="240" w:lineRule="auto"/>
              <w:jc w:val="right"/>
              <w:rPr>
                <w:rFonts w:ascii="Arial" w:eastAsia="Times New Roman" w:hAnsi="Arial" w:cs="Arial"/>
                <w:sz w:val="16"/>
                <w:szCs w:val="20"/>
                <w:lang w:eastAsia="sl-SI"/>
              </w:rPr>
            </w:pPr>
            <w:r w:rsidRPr="00F5171F">
              <w:rPr>
                <w:rFonts w:ascii="Arial" w:eastAsia="Times New Roman" w:hAnsi="Arial" w:cs="Arial"/>
                <w:sz w:val="16"/>
                <w:szCs w:val="20"/>
                <w:lang w:eastAsia="sl-SI"/>
              </w:rPr>
              <w:t>1,06</w:t>
            </w:r>
          </w:p>
        </w:tc>
        <w:tc>
          <w:tcPr>
            <w:tcW w:w="521" w:type="pct"/>
            <w:tcBorders>
              <w:top w:val="nil"/>
              <w:left w:val="nil"/>
              <w:bottom w:val="single" w:sz="4" w:space="0" w:color="auto"/>
              <w:right w:val="single" w:sz="4" w:space="0" w:color="auto"/>
            </w:tcBorders>
            <w:shd w:val="clear" w:color="auto" w:fill="auto"/>
            <w:noWrap/>
            <w:vAlign w:val="bottom"/>
            <w:hideMark/>
          </w:tcPr>
          <w:p w:rsidR="00273D8E" w:rsidRPr="00F5171F" w:rsidRDefault="00273D8E" w:rsidP="00273D8E">
            <w:pPr>
              <w:spacing w:after="0" w:line="240" w:lineRule="auto"/>
              <w:jc w:val="right"/>
              <w:rPr>
                <w:rFonts w:ascii="Arial" w:eastAsia="Times New Roman" w:hAnsi="Arial" w:cs="Arial"/>
                <w:sz w:val="16"/>
                <w:szCs w:val="20"/>
                <w:lang w:eastAsia="sl-SI"/>
              </w:rPr>
            </w:pPr>
            <w:r w:rsidRPr="00F5171F">
              <w:rPr>
                <w:rFonts w:ascii="Arial" w:eastAsia="Times New Roman" w:hAnsi="Arial" w:cs="Arial"/>
                <w:sz w:val="16"/>
                <w:szCs w:val="20"/>
                <w:lang w:eastAsia="sl-SI"/>
              </w:rPr>
              <w:t>1,06</w:t>
            </w:r>
          </w:p>
        </w:tc>
        <w:tc>
          <w:tcPr>
            <w:tcW w:w="521" w:type="pct"/>
            <w:tcBorders>
              <w:top w:val="nil"/>
              <w:left w:val="nil"/>
              <w:bottom w:val="single" w:sz="4" w:space="0" w:color="auto"/>
              <w:right w:val="single" w:sz="8" w:space="0" w:color="auto"/>
            </w:tcBorders>
            <w:shd w:val="clear" w:color="auto" w:fill="auto"/>
            <w:noWrap/>
            <w:vAlign w:val="bottom"/>
            <w:hideMark/>
          </w:tcPr>
          <w:p w:rsidR="00273D8E" w:rsidRPr="00F5171F" w:rsidRDefault="00273D8E" w:rsidP="00273D8E">
            <w:pPr>
              <w:spacing w:after="0" w:line="240" w:lineRule="auto"/>
              <w:jc w:val="right"/>
              <w:rPr>
                <w:rFonts w:ascii="Arial" w:eastAsia="Times New Roman" w:hAnsi="Arial" w:cs="Arial"/>
                <w:sz w:val="16"/>
                <w:szCs w:val="20"/>
                <w:lang w:eastAsia="sl-SI"/>
              </w:rPr>
            </w:pPr>
            <w:r w:rsidRPr="00F5171F">
              <w:rPr>
                <w:rFonts w:ascii="Arial" w:eastAsia="Times New Roman" w:hAnsi="Arial" w:cs="Arial"/>
                <w:sz w:val="16"/>
                <w:szCs w:val="20"/>
                <w:lang w:eastAsia="sl-SI"/>
              </w:rPr>
              <w:t>1,02</w:t>
            </w:r>
          </w:p>
        </w:tc>
      </w:tr>
    </w:tbl>
    <w:p w:rsidR="00273D8E" w:rsidRPr="00273D8E" w:rsidRDefault="00273D8E" w:rsidP="00273D8E">
      <w:pPr>
        <w:pStyle w:val="Caption"/>
        <w:spacing w:after="120"/>
        <w:rPr>
          <w:b w:val="0"/>
          <w:color w:val="auto"/>
          <w:sz w:val="20"/>
        </w:rPr>
      </w:pPr>
      <w:bookmarkStart w:id="7" w:name="_Toc327382764"/>
      <w:r w:rsidRPr="00273D8E">
        <w:rPr>
          <w:b w:val="0"/>
          <w:color w:val="auto"/>
          <w:sz w:val="20"/>
        </w:rPr>
        <w:t xml:space="preserve">Tabela </w:t>
      </w:r>
      <w:r w:rsidR="005A3C60" w:rsidRPr="00273D8E">
        <w:rPr>
          <w:b w:val="0"/>
          <w:color w:val="auto"/>
          <w:sz w:val="20"/>
        </w:rPr>
        <w:fldChar w:fldCharType="begin"/>
      </w:r>
      <w:r w:rsidRPr="00273D8E">
        <w:rPr>
          <w:b w:val="0"/>
          <w:color w:val="auto"/>
          <w:sz w:val="20"/>
        </w:rPr>
        <w:instrText xml:space="preserve"> SEQ Tabela \* ARABIC </w:instrText>
      </w:r>
      <w:r w:rsidR="005A3C60" w:rsidRPr="00273D8E">
        <w:rPr>
          <w:b w:val="0"/>
          <w:color w:val="auto"/>
          <w:sz w:val="20"/>
        </w:rPr>
        <w:fldChar w:fldCharType="separate"/>
      </w:r>
      <w:r w:rsidR="00664B27">
        <w:rPr>
          <w:b w:val="0"/>
          <w:noProof/>
          <w:color w:val="auto"/>
          <w:sz w:val="20"/>
        </w:rPr>
        <w:t>2</w:t>
      </w:r>
      <w:r w:rsidR="005A3C60" w:rsidRPr="00273D8E">
        <w:rPr>
          <w:b w:val="0"/>
          <w:color w:val="auto"/>
          <w:sz w:val="20"/>
        </w:rPr>
        <w:fldChar w:fldCharType="end"/>
      </w:r>
      <w:r w:rsidRPr="00273D8E">
        <w:rPr>
          <w:b w:val="0"/>
          <w:color w:val="auto"/>
          <w:sz w:val="20"/>
        </w:rPr>
        <w:t>: Na poved prihodkov</w:t>
      </w:r>
      <w:bookmarkEnd w:id="7"/>
    </w:p>
    <w:p w:rsidR="00794C55" w:rsidRDefault="00794C55" w:rsidP="00794C55">
      <w:pPr>
        <w:spacing w:after="0" w:line="360" w:lineRule="auto"/>
        <w:jc w:val="both"/>
        <w:rPr>
          <w:sz w:val="24"/>
        </w:rPr>
      </w:pPr>
    </w:p>
    <w:p w:rsidR="006B4BE9" w:rsidRPr="001A67DA" w:rsidRDefault="00794C55" w:rsidP="00C36100">
      <w:pPr>
        <w:spacing w:after="120" w:line="360" w:lineRule="auto"/>
        <w:jc w:val="both"/>
        <w:rPr>
          <w:rFonts w:ascii="Times New Roman" w:hAnsi="Times New Roman" w:cs="Times New Roman"/>
          <w:sz w:val="24"/>
        </w:rPr>
      </w:pPr>
      <w:r w:rsidRPr="001A67DA">
        <w:rPr>
          <w:rFonts w:ascii="Times New Roman" w:hAnsi="Times New Roman" w:cs="Times New Roman"/>
          <w:sz w:val="24"/>
        </w:rPr>
        <w:t>Prihodk</w:t>
      </w:r>
      <w:r w:rsidR="002F79F0" w:rsidRPr="001A67DA">
        <w:rPr>
          <w:rFonts w:ascii="Times New Roman" w:hAnsi="Times New Roman" w:cs="Times New Roman"/>
          <w:sz w:val="24"/>
        </w:rPr>
        <w:t xml:space="preserve">e oziroma njihovo rast smo napovedovali na podlagi preteklih gibanj in ukrepov v samem podjetju, ki smo jih zaznali v letnih poročilih ali raznih člankih ter na podlagi značilnosti prihodnjega gibanja panoge. </w:t>
      </w:r>
      <w:r w:rsidR="00856B45" w:rsidRPr="001A67DA">
        <w:rPr>
          <w:rFonts w:ascii="Times New Roman" w:hAnsi="Times New Roman" w:cs="Times New Roman"/>
          <w:sz w:val="24"/>
        </w:rPr>
        <w:t xml:space="preserve">Podatki za leti 2009 in 2010 so pridobljeni iz letnih poročil, za leto 2011 iz članka »Adria </w:t>
      </w:r>
      <w:proofErr w:type="spellStart"/>
      <w:r w:rsidR="00856B45" w:rsidRPr="001A67DA">
        <w:rPr>
          <w:rFonts w:ascii="Times New Roman" w:hAnsi="Times New Roman" w:cs="Times New Roman"/>
          <w:sz w:val="24"/>
        </w:rPr>
        <w:t>Mobil</w:t>
      </w:r>
      <w:proofErr w:type="spellEnd"/>
      <w:r w:rsidR="00856B45" w:rsidRPr="001A67DA">
        <w:rPr>
          <w:rFonts w:ascii="Times New Roman" w:hAnsi="Times New Roman" w:cs="Times New Roman"/>
          <w:sz w:val="24"/>
        </w:rPr>
        <w:t xml:space="preserve"> je prodala več«, objavljenega v časopisu Delo (</w:t>
      </w:r>
      <w:hyperlink r:id="rId13" w:history="1">
        <w:r w:rsidR="00856B45" w:rsidRPr="001A67DA">
          <w:rPr>
            <w:rStyle w:val="Hyperlink"/>
            <w:rFonts w:ascii="Times New Roman" w:hAnsi="Times New Roman" w:cs="Times New Roman"/>
            <w:sz w:val="24"/>
          </w:rPr>
          <w:t>http://delo.si/gospodarstvo/podjetja/adria-mobil-je-prodala-vec.html</w:t>
        </w:r>
      </w:hyperlink>
      <w:r w:rsidR="00856B45" w:rsidRPr="001A67DA">
        <w:rPr>
          <w:rFonts w:ascii="Times New Roman" w:hAnsi="Times New Roman" w:cs="Times New Roman"/>
          <w:sz w:val="24"/>
        </w:rPr>
        <w:t>), medtem ko bomo napovedane prihodke v na</w:t>
      </w:r>
      <w:r w:rsidR="00693C2D" w:rsidRPr="001A67DA">
        <w:rPr>
          <w:rFonts w:ascii="Times New Roman" w:hAnsi="Times New Roman" w:cs="Times New Roman"/>
          <w:sz w:val="24"/>
        </w:rPr>
        <w:t>slednjih letih</w:t>
      </w:r>
      <w:r w:rsidR="00856B45" w:rsidRPr="001A67DA">
        <w:rPr>
          <w:rFonts w:ascii="Times New Roman" w:hAnsi="Times New Roman" w:cs="Times New Roman"/>
          <w:sz w:val="24"/>
        </w:rPr>
        <w:t xml:space="preserve"> pojasnili skozi nekatera dejstva. </w:t>
      </w:r>
      <w:r w:rsidR="00986878" w:rsidRPr="001A67DA">
        <w:rPr>
          <w:rFonts w:ascii="Times New Roman" w:hAnsi="Times New Roman" w:cs="Times New Roman"/>
          <w:sz w:val="24"/>
        </w:rPr>
        <w:t xml:space="preserve">Obstajajo tako pozitivna kot negativna dejstva, katerih končen rezultat smo skušali odtehtati v teh napovedih. </w:t>
      </w:r>
      <w:r w:rsidR="006B4BE9" w:rsidRPr="001A67DA">
        <w:rPr>
          <w:rFonts w:ascii="Times New Roman" w:hAnsi="Times New Roman" w:cs="Times New Roman"/>
          <w:sz w:val="24"/>
        </w:rPr>
        <w:t>P</w:t>
      </w:r>
      <w:r w:rsidR="00714951" w:rsidRPr="001A67DA">
        <w:rPr>
          <w:rFonts w:ascii="Times New Roman" w:hAnsi="Times New Roman" w:cs="Times New Roman"/>
          <w:sz w:val="24"/>
        </w:rPr>
        <w:t>oskušali natančneje pojasniti gibanje prihodkov naslednjih nekaj let</w:t>
      </w:r>
      <w:r w:rsidR="006B4BE9" w:rsidRPr="001A67DA">
        <w:rPr>
          <w:rFonts w:ascii="Times New Roman" w:hAnsi="Times New Roman" w:cs="Times New Roman"/>
          <w:sz w:val="24"/>
        </w:rPr>
        <w:t>.</w:t>
      </w:r>
    </w:p>
    <w:p w:rsidR="00492888" w:rsidRPr="001A67DA" w:rsidRDefault="00492888" w:rsidP="00C36100">
      <w:pPr>
        <w:spacing w:after="120" w:line="360" w:lineRule="auto"/>
        <w:jc w:val="both"/>
        <w:rPr>
          <w:rFonts w:ascii="Times New Roman" w:hAnsi="Times New Roman" w:cs="Times New Roman"/>
          <w:sz w:val="24"/>
        </w:rPr>
      </w:pPr>
      <w:r w:rsidRPr="001A67DA">
        <w:rPr>
          <w:rFonts w:ascii="Times New Roman" w:hAnsi="Times New Roman" w:cs="Times New Roman"/>
          <w:sz w:val="24"/>
        </w:rPr>
        <w:t xml:space="preserve">Če želimo pojasniti gibanja v prihodnjih, moramo najprej predstaviti bistvene stvari poslovnega modela SAM in ostale pomembnejše ukrepe. Industrija vozil za prosti čas </w:t>
      </w:r>
      <w:r w:rsidRPr="001A67DA">
        <w:rPr>
          <w:rFonts w:ascii="Times New Roman" w:hAnsi="Times New Roman" w:cs="Times New Roman"/>
          <w:sz w:val="24"/>
        </w:rPr>
        <w:lastRenderedPageBreak/>
        <w:t xml:space="preserve">(avtodomi, prikolice in </w:t>
      </w:r>
      <w:proofErr w:type="spellStart"/>
      <w:r w:rsidRPr="001A67DA">
        <w:rPr>
          <w:rFonts w:ascii="Times New Roman" w:hAnsi="Times New Roman" w:cs="Times New Roman"/>
          <w:sz w:val="24"/>
        </w:rPr>
        <w:t>vani</w:t>
      </w:r>
      <w:proofErr w:type="spellEnd"/>
      <w:r w:rsidRPr="001A67DA">
        <w:rPr>
          <w:rFonts w:ascii="Times New Roman" w:hAnsi="Times New Roman" w:cs="Times New Roman"/>
          <w:sz w:val="24"/>
        </w:rPr>
        <w:t xml:space="preserve">), in z njo SAM, je leta 2008 zaradi krize doživela zajeten padec v prodaji produktov. Le SAM pa je v </w:t>
      </w:r>
      <w:r w:rsidR="001C536D" w:rsidRPr="001A67DA">
        <w:rPr>
          <w:rFonts w:ascii="Times New Roman" w:hAnsi="Times New Roman" w:cs="Times New Roman"/>
          <w:sz w:val="24"/>
        </w:rPr>
        <w:t xml:space="preserve">naslednjih treh letih (2009-2011) uspelo povečati prodajo za petino, medtem ko sta največja tekmeca </w:t>
      </w:r>
      <w:proofErr w:type="spellStart"/>
      <w:r w:rsidR="001C536D" w:rsidRPr="001A67DA">
        <w:rPr>
          <w:rFonts w:ascii="Times New Roman" w:hAnsi="Times New Roman" w:cs="Times New Roman"/>
          <w:sz w:val="24"/>
        </w:rPr>
        <w:t>Hymer</w:t>
      </w:r>
      <w:proofErr w:type="spellEnd"/>
      <w:r w:rsidR="001C536D" w:rsidRPr="001A67DA">
        <w:rPr>
          <w:rFonts w:ascii="Times New Roman" w:hAnsi="Times New Roman" w:cs="Times New Roman"/>
          <w:sz w:val="24"/>
        </w:rPr>
        <w:t xml:space="preserve"> in </w:t>
      </w:r>
      <w:proofErr w:type="spellStart"/>
      <w:r w:rsidR="001C536D" w:rsidRPr="001A67DA">
        <w:rPr>
          <w:rFonts w:ascii="Times New Roman" w:hAnsi="Times New Roman" w:cs="Times New Roman"/>
          <w:sz w:val="24"/>
        </w:rPr>
        <w:t>Trigano</w:t>
      </w:r>
      <w:proofErr w:type="spellEnd"/>
      <w:r w:rsidR="001C536D" w:rsidRPr="001A67DA">
        <w:rPr>
          <w:rFonts w:ascii="Times New Roman" w:hAnsi="Times New Roman" w:cs="Times New Roman"/>
          <w:sz w:val="24"/>
        </w:rPr>
        <w:t xml:space="preserve"> povečala prodajo za približno 10</w:t>
      </w:r>
      <w:r w:rsidR="00213AC8" w:rsidRPr="001A67DA">
        <w:rPr>
          <w:rFonts w:ascii="Times New Roman" w:hAnsi="Times New Roman" w:cs="Times New Roman"/>
          <w:sz w:val="24"/>
        </w:rPr>
        <w:t>%</w:t>
      </w:r>
      <w:r w:rsidR="001C536D" w:rsidRPr="001A67DA">
        <w:rPr>
          <w:rFonts w:ascii="Times New Roman" w:hAnsi="Times New Roman" w:cs="Times New Roman"/>
          <w:sz w:val="24"/>
        </w:rPr>
        <w:t xml:space="preserve"> in 8,5%. Tako dober odziv lahko pripišemo dobremu poslovnemu modelu, ki temelji na dobri prodajni mreži</w:t>
      </w:r>
      <w:r w:rsidR="005617A4" w:rsidRPr="001A67DA">
        <w:rPr>
          <w:rFonts w:ascii="Times New Roman" w:hAnsi="Times New Roman" w:cs="Times New Roman"/>
          <w:sz w:val="24"/>
        </w:rPr>
        <w:t xml:space="preserve"> in ugodnih tržnih razmerah</w:t>
      </w:r>
      <w:r w:rsidR="001C536D" w:rsidRPr="001A67DA">
        <w:rPr>
          <w:rFonts w:ascii="Times New Roman" w:hAnsi="Times New Roman" w:cs="Times New Roman"/>
          <w:sz w:val="24"/>
        </w:rPr>
        <w:t>. Prisotni so kar na 29 evropskih trgih in sodelujejo z več kot 400 trgovskimi partnerji</w:t>
      </w:r>
      <w:r w:rsidR="003B70A3" w:rsidRPr="001A67DA">
        <w:rPr>
          <w:rFonts w:ascii="Times New Roman" w:hAnsi="Times New Roman" w:cs="Times New Roman"/>
          <w:sz w:val="24"/>
        </w:rPr>
        <w:t>, s katerimi sodelujejo že dolgo</w:t>
      </w:r>
      <w:r w:rsidR="001C536D" w:rsidRPr="001A67DA">
        <w:rPr>
          <w:rFonts w:ascii="Times New Roman" w:hAnsi="Times New Roman" w:cs="Times New Roman"/>
          <w:sz w:val="24"/>
        </w:rPr>
        <w:t>. Poleg tega jim je to uspelo s pravočasnimi ukrepi, kot so pravilna strateška usmeritev na prednostnih trgih, pospešene izdelčne in trženjske prenove, variabilno na</w:t>
      </w:r>
      <w:r w:rsidR="005617A4" w:rsidRPr="001A67DA">
        <w:rPr>
          <w:rFonts w:ascii="Times New Roman" w:hAnsi="Times New Roman" w:cs="Times New Roman"/>
          <w:sz w:val="24"/>
        </w:rPr>
        <w:t>grajeva</w:t>
      </w:r>
      <w:r w:rsidR="003B70A3" w:rsidRPr="001A67DA">
        <w:rPr>
          <w:rFonts w:ascii="Times New Roman" w:hAnsi="Times New Roman" w:cs="Times New Roman"/>
          <w:sz w:val="24"/>
        </w:rPr>
        <w:t>nje v celotni skupini in</w:t>
      </w:r>
      <w:r w:rsidR="005617A4" w:rsidRPr="001A67DA">
        <w:rPr>
          <w:rFonts w:ascii="Times New Roman" w:hAnsi="Times New Roman" w:cs="Times New Roman"/>
          <w:sz w:val="24"/>
        </w:rPr>
        <w:t xml:space="preserve"> z racionalizacijo</w:t>
      </w:r>
      <w:r w:rsidR="003B70A3" w:rsidRPr="001A67DA">
        <w:rPr>
          <w:rFonts w:ascii="Times New Roman" w:hAnsi="Times New Roman" w:cs="Times New Roman"/>
          <w:sz w:val="24"/>
        </w:rPr>
        <w:t xml:space="preserve"> stroškovne učinkovitosti. To dokazuje teorijo o rasti podjetja na podlagi tržnega deleža in tržnih razmer. </w:t>
      </w:r>
      <w:r w:rsidR="008720D1" w:rsidRPr="001A67DA">
        <w:rPr>
          <w:rFonts w:ascii="Times New Roman" w:hAnsi="Times New Roman" w:cs="Times New Roman"/>
          <w:sz w:val="24"/>
        </w:rPr>
        <w:t xml:space="preserve">Tako dobra odzivnost jim je omogočila, da so še povečali svoj tržni delež na evropskem trgu </w:t>
      </w:r>
      <w:proofErr w:type="spellStart"/>
      <w:r w:rsidR="008720D1" w:rsidRPr="001A67DA">
        <w:rPr>
          <w:rFonts w:ascii="Times New Roman" w:hAnsi="Times New Roman" w:cs="Times New Roman"/>
          <w:sz w:val="24"/>
        </w:rPr>
        <w:t>karavaninga</w:t>
      </w:r>
      <w:proofErr w:type="spellEnd"/>
      <w:r w:rsidR="008720D1" w:rsidRPr="001A67DA">
        <w:rPr>
          <w:rFonts w:ascii="Times New Roman" w:hAnsi="Times New Roman" w:cs="Times New Roman"/>
          <w:sz w:val="24"/>
        </w:rPr>
        <w:t xml:space="preserve">. Ta znaša približno 6% in je za pol odstotne točke večji, kot je bil </w:t>
      </w:r>
      <w:r w:rsidR="001958F3" w:rsidRPr="001A67DA">
        <w:rPr>
          <w:rFonts w:ascii="Times New Roman" w:hAnsi="Times New Roman" w:cs="Times New Roman"/>
          <w:sz w:val="24"/>
        </w:rPr>
        <w:t>pred krizo</w:t>
      </w:r>
      <w:r w:rsidR="008720D1" w:rsidRPr="001A67DA">
        <w:rPr>
          <w:rFonts w:ascii="Times New Roman" w:hAnsi="Times New Roman" w:cs="Times New Roman"/>
          <w:sz w:val="24"/>
        </w:rPr>
        <w:t>.</w:t>
      </w:r>
      <w:r w:rsidR="00A0304D" w:rsidRPr="001A67DA">
        <w:rPr>
          <w:rFonts w:ascii="Times New Roman" w:hAnsi="Times New Roman" w:cs="Times New Roman"/>
          <w:sz w:val="24"/>
        </w:rPr>
        <w:t xml:space="preserve"> S tem skušamo prikazati, da ne glede na to, da trg vozil za prosti čas v zadnjih letih po podatkih CVID vedno beleži padec</w:t>
      </w:r>
      <w:r w:rsidR="008D0C6A" w:rsidRPr="001A67DA">
        <w:rPr>
          <w:rFonts w:ascii="Times New Roman" w:hAnsi="Times New Roman" w:cs="Times New Roman"/>
          <w:sz w:val="24"/>
        </w:rPr>
        <w:t xml:space="preserve"> (18,5% padec prodanih vozil za prosti čas</w:t>
      </w:r>
      <w:r w:rsidR="00A97897" w:rsidRPr="001A67DA">
        <w:rPr>
          <w:rFonts w:ascii="Times New Roman" w:hAnsi="Times New Roman" w:cs="Times New Roman"/>
          <w:sz w:val="24"/>
        </w:rPr>
        <w:t xml:space="preserve"> v letu 2009 glede na leto 2008; 3% padec v letu 2010 in še dodaten 1,3% v letu 2011), </w:t>
      </w:r>
      <w:r w:rsidR="00A0304D" w:rsidRPr="001A67DA">
        <w:rPr>
          <w:rFonts w:ascii="Times New Roman" w:hAnsi="Times New Roman" w:cs="Times New Roman"/>
          <w:sz w:val="24"/>
        </w:rPr>
        <w:t xml:space="preserve">SAM odlično izkorišča svoje prednosti in odpravlja slabosti in ji zaradi </w:t>
      </w:r>
      <w:r w:rsidR="00A97897" w:rsidRPr="001A67DA">
        <w:rPr>
          <w:rFonts w:ascii="Times New Roman" w:hAnsi="Times New Roman" w:cs="Times New Roman"/>
          <w:sz w:val="24"/>
        </w:rPr>
        <w:t xml:space="preserve">tega </w:t>
      </w:r>
      <w:r w:rsidR="00A0304D" w:rsidRPr="001A67DA">
        <w:rPr>
          <w:rFonts w:ascii="Times New Roman" w:hAnsi="Times New Roman" w:cs="Times New Roman"/>
          <w:sz w:val="24"/>
        </w:rPr>
        <w:t xml:space="preserve">lahko napovedujemo </w:t>
      </w:r>
      <w:r w:rsidR="004E6A4A" w:rsidRPr="001A67DA">
        <w:rPr>
          <w:rFonts w:ascii="Times New Roman" w:hAnsi="Times New Roman" w:cs="Times New Roman"/>
          <w:sz w:val="24"/>
        </w:rPr>
        <w:t xml:space="preserve">pozitivno </w:t>
      </w:r>
      <w:r w:rsidR="00A0304D" w:rsidRPr="001A67DA">
        <w:rPr>
          <w:rFonts w:ascii="Times New Roman" w:hAnsi="Times New Roman" w:cs="Times New Roman"/>
          <w:sz w:val="24"/>
        </w:rPr>
        <w:t xml:space="preserve">rast tudi v </w:t>
      </w:r>
      <w:r w:rsidR="00BF69FC" w:rsidRPr="001A67DA">
        <w:rPr>
          <w:rFonts w:ascii="Times New Roman" w:hAnsi="Times New Roman" w:cs="Times New Roman"/>
          <w:sz w:val="24"/>
        </w:rPr>
        <w:t>nadaljnje</w:t>
      </w:r>
      <w:r w:rsidR="00A0304D" w:rsidRPr="001A67DA">
        <w:rPr>
          <w:rFonts w:ascii="Times New Roman" w:hAnsi="Times New Roman" w:cs="Times New Roman"/>
          <w:sz w:val="24"/>
        </w:rPr>
        <w:t>.</w:t>
      </w:r>
      <w:r w:rsidR="00843B90" w:rsidRPr="001A67DA">
        <w:rPr>
          <w:rFonts w:ascii="Times New Roman" w:hAnsi="Times New Roman" w:cs="Times New Roman"/>
          <w:sz w:val="24"/>
        </w:rPr>
        <w:t xml:space="preserve"> O odličnosti poslovnega modela pričajo tudi razne nagrade, ki jih je družba prejela v zadnjem letu. V </w:t>
      </w:r>
      <w:r w:rsidR="00B549DD" w:rsidRPr="001A67DA">
        <w:rPr>
          <w:rFonts w:ascii="Times New Roman" w:hAnsi="Times New Roman" w:cs="Times New Roman"/>
          <w:sz w:val="24"/>
        </w:rPr>
        <w:t xml:space="preserve">Nemčiji je za program avtodomov in </w:t>
      </w:r>
      <w:proofErr w:type="spellStart"/>
      <w:r w:rsidR="00B549DD" w:rsidRPr="001A67DA">
        <w:rPr>
          <w:rFonts w:ascii="Times New Roman" w:hAnsi="Times New Roman" w:cs="Times New Roman"/>
          <w:sz w:val="24"/>
        </w:rPr>
        <w:t>vanov</w:t>
      </w:r>
      <w:proofErr w:type="spellEnd"/>
      <w:r w:rsidR="00B549DD" w:rsidRPr="001A67DA">
        <w:rPr>
          <w:rFonts w:ascii="Times New Roman" w:hAnsi="Times New Roman" w:cs="Times New Roman"/>
          <w:sz w:val="24"/>
        </w:rPr>
        <w:t xml:space="preserve"> dobili nagrado Kralj kupcev 2011 (</w:t>
      </w:r>
      <w:proofErr w:type="spellStart"/>
      <w:r w:rsidR="00B549DD" w:rsidRPr="001A67DA">
        <w:rPr>
          <w:rFonts w:ascii="Times New Roman" w:hAnsi="Times New Roman" w:cs="Times New Roman"/>
          <w:sz w:val="24"/>
        </w:rPr>
        <w:t>finance.si</w:t>
      </w:r>
      <w:proofErr w:type="spellEnd"/>
      <w:r w:rsidR="00B549DD" w:rsidRPr="001A67DA">
        <w:rPr>
          <w:rFonts w:ascii="Times New Roman" w:hAnsi="Times New Roman" w:cs="Times New Roman"/>
          <w:sz w:val="24"/>
        </w:rPr>
        <w:t xml:space="preserve">); Center za poslovno usposabljanje je </w:t>
      </w:r>
      <w:proofErr w:type="spellStart"/>
      <w:r w:rsidR="00B549DD" w:rsidRPr="001A67DA">
        <w:rPr>
          <w:rFonts w:ascii="Times New Roman" w:hAnsi="Times New Roman" w:cs="Times New Roman"/>
          <w:sz w:val="24"/>
        </w:rPr>
        <w:t>Adrii</w:t>
      </w:r>
      <w:proofErr w:type="spellEnd"/>
      <w:r w:rsidR="00B549DD" w:rsidRPr="001A67DA">
        <w:rPr>
          <w:rFonts w:ascii="Times New Roman" w:hAnsi="Times New Roman" w:cs="Times New Roman"/>
          <w:sz w:val="24"/>
        </w:rPr>
        <w:t xml:space="preserve"> </w:t>
      </w:r>
      <w:proofErr w:type="spellStart"/>
      <w:r w:rsidR="00B549DD" w:rsidRPr="001A67DA">
        <w:rPr>
          <w:rFonts w:ascii="Times New Roman" w:hAnsi="Times New Roman" w:cs="Times New Roman"/>
          <w:sz w:val="24"/>
        </w:rPr>
        <w:t>Mobil</w:t>
      </w:r>
      <w:proofErr w:type="spellEnd"/>
      <w:r w:rsidR="00B549DD" w:rsidRPr="001A67DA">
        <w:rPr>
          <w:rFonts w:ascii="Times New Roman" w:hAnsi="Times New Roman" w:cs="Times New Roman"/>
          <w:sz w:val="24"/>
        </w:rPr>
        <w:t xml:space="preserve"> podelil sploh prvi certifikat USO-S11, s katerim je AM pridobila naziv Učeče se organizacije (</w:t>
      </w:r>
      <w:hyperlink r:id="rId14" w:history="1">
        <w:r w:rsidR="00B549DD" w:rsidRPr="001A67DA">
          <w:rPr>
            <w:rStyle w:val="Hyperlink"/>
            <w:rFonts w:ascii="Times New Roman" w:hAnsi="Times New Roman" w:cs="Times New Roman"/>
            <w:sz w:val="24"/>
          </w:rPr>
          <w:t>http://zlatanit.dnevnik.si</w:t>
        </w:r>
      </w:hyperlink>
      <w:r w:rsidR="00B549DD" w:rsidRPr="001A67DA">
        <w:rPr>
          <w:rFonts w:ascii="Times New Roman" w:hAnsi="Times New Roman" w:cs="Times New Roman"/>
          <w:sz w:val="24"/>
        </w:rPr>
        <w:t xml:space="preserve">); uvrstili so se med finaliste za prejem nagrade Zlata nit 2011; Matjaž Grm – direktor direkcije prodaje in trženja </w:t>
      </w:r>
      <w:r w:rsidR="00EC760D" w:rsidRPr="001A67DA">
        <w:rPr>
          <w:rFonts w:ascii="Times New Roman" w:hAnsi="Times New Roman" w:cs="Times New Roman"/>
          <w:sz w:val="24"/>
        </w:rPr>
        <w:t>pa se je uvrstil med 3 finaliste za prejetje nagrade Marketinški direktor/direktorica 2012, ki jo podeljuje Društvo za marketing Slovenije (</w:t>
      </w:r>
      <w:proofErr w:type="spellStart"/>
      <w:r w:rsidR="00EC760D" w:rsidRPr="001A67DA">
        <w:rPr>
          <w:rFonts w:ascii="Times New Roman" w:hAnsi="Times New Roman" w:cs="Times New Roman"/>
          <w:sz w:val="24"/>
        </w:rPr>
        <w:t>finance.si</w:t>
      </w:r>
      <w:proofErr w:type="spellEnd"/>
      <w:r w:rsidR="00EC760D" w:rsidRPr="001A67DA">
        <w:rPr>
          <w:rFonts w:ascii="Times New Roman" w:hAnsi="Times New Roman" w:cs="Times New Roman"/>
          <w:sz w:val="24"/>
        </w:rPr>
        <w:t>).</w:t>
      </w:r>
    </w:p>
    <w:p w:rsidR="008D3BD5" w:rsidRPr="001A67DA" w:rsidRDefault="00FF1434" w:rsidP="00C36100">
      <w:pPr>
        <w:spacing w:after="120" w:line="360" w:lineRule="auto"/>
        <w:jc w:val="both"/>
        <w:rPr>
          <w:rFonts w:ascii="Times New Roman" w:hAnsi="Times New Roman" w:cs="Times New Roman"/>
          <w:sz w:val="24"/>
        </w:rPr>
      </w:pPr>
      <w:r w:rsidRPr="001A67DA">
        <w:rPr>
          <w:rFonts w:ascii="Times New Roman" w:hAnsi="Times New Roman" w:cs="Times New Roman"/>
          <w:sz w:val="24"/>
        </w:rPr>
        <w:t xml:space="preserve">Vendar pa realno gledano, rast ne bo več tako velika kot je bila v zadnjih dveh letih (18% in 13%), saj je smiselno sklepati, da jih bo z ukrepi počasi dohitela tudi konkurenca, ki se </w:t>
      </w:r>
      <w:r w:rsidR="00846AAA" w:rsidRPr="001A67DA">
        <w:rPr>
          <w:rFonts w:ascii="Times New Roman" w:hAnsi="Times New Roman" w:cs="Times New Roman"/>
          <w:sz w:val="24"/>
        </w:rPr>
        <w:t xml:space="preserve">je na krizo odzvala nekoliko slabše in počasneje. Veliko negotovost predstavljajo tudi tržni trendi na posameznih trgih, saj so zaradi dolžniške krize in posledično varčevalnih ukrepov, lahko zelo spremenljivi. Tovrstni produkti veljajo namreč za luksuzne dobrine, zato bo ta trg v prihodnje zelo </w:t>
      </w:r>
      <w:proofErr w:type="spellStart"/>
      <w:r w:rsidR="00846AAA" w:rsidRPr="001A67DA">
        <w:rPr>
          <w:rFonts w:ascii="Times New Roman" w:hAnsi="Times New Roman" w:cs="Times New Roman"/>
          <w:sz w:val="24"/>
        </w:rPr>
        <w:t>volatilen</w:t>
      </w:r>
      <w:proofErr w:type="spellEnd"/>
      <w:r w:rsidR="00846AAA" w:rsidRPr="001A67DA">
        <w:rPr>
          <w:rFonts w:ascii="Times New Roman" w:hAnsi="Times New Roman" w:cs="Times New Roman"/>
          <w:sz w:val="24"/>
        </w:rPr>
        <w:t xml:space="preserve"> in se bo gibal predvsem v odvisnosti od uspešnosti gospodarstva na posameznih trgih. Upad prodaje se že sedaj kaže na veliki</w:t>
      </w:r>
      <w:r w:rsidR="00ED6C87" w:rsidRPr="001A67DA">
        <w:rPr>
          <w:rFonts w:ascii="Times New Roman" w:hAnsi="Times New Roman" w:cs="Times New Roman"/>
          <w:sz w:val="24"/>
        </w:rPr>
        <w:t xml:space="preserve">h trgih kot so Velika Britanija, Italija, Španija, Nizozemska in Danska. </w:t>
      </w:r>
      <w:r w:rsidR="00F456E1" w:rsidRPr="001A67DA">
        <w:rPr>
          <w:rFonts w:ascii="Times New Roman" w:hAnsi="Times New Roman" w:cs="Times New Roman"/>
          <w:sz w:val="24"/>
        </w:rPr>
        <w:t>Na drugi str</w:t>
      </w:r>
      <w:r w:rsidR="00211CB8" w:rsidRPr="001A67DA">
        <w:rPr>
          <w:rFonts w:ascii="Times New Roman" w:hAnsi="Times New Roman" w:cs="Times New Roman"/>
          <w:sz w:val="24"/>
        </w:rPr>
        <w:t>ani</w:t>
      </w:r>
      <w:r w:rsidR="00F456E1" w:rsidRPr="001A67DA">
        <w:rPr>
          <w:rFonts w:ascii="Times New Roman" w:hAnsi="Times New Roman" w:cs="Times New Roman"/>
          <w:sz w:val="24"/>
        </w:rPr>
        <w:t xml:space="preserve"> se prodaja vozil za prosti čas na trgih</w:t>
      </w:r>
      <w:r w:rsidR="00211CB8" w:rsidRPr="001A67DA">
        <w:rPr>
          <w:rFonts w:ascii="Times New Roman" w:hAnsi="Times New Roman" w:cs="Times New Roman"/>
          <w:sz w:val="24"/>
        </w:rPr>
        <w:t>,</w:t>
      </w:r>
      <w:r w:rsidR="00F456E1" w:rsidRPr="001A67DA">
        <w:rPr>
          <w:rFonts w:ascii="Times New Roman" w:hAnsi="Times New Roman" w:cs="Times New Roman"/>
          <w:sz w:val="24"/>
        </w:rPr>
        <w:t xml:space="preserve"> na katerih Adria </w:t>
      </w:r>
      <w:proofErr w:type="spellStart"/>
      <w:r w:rsidR="00F456E1" w:rsidRPr="001A67DA">
        <w:rPr>
          <w:rFonts w:ascii="Times New Roman" w:hAnsi="Times New Roman" w:cs="Times New Roman"/>
          <w:sz w:val="24"/>
        </w:rPr>
        <w:t>Mobil</w:t>
      </w:r>
      <w:proofErr w:type="spellEnd"/>
      <w:r w:rsidR="00F456E1" w:rsidRPr="001A67DA">
        <w:rPr>
          <w:rFonts w:ascii="Times New Roman" w:hAnsi="Times New Roman" w:cs="Times New Roman"/>
          <w:sz w:val="24"/>
        </w:rPr>
        <w:t xml:space="preserve"> največ proda</w:t>
      </w:r>
      <w:r w:rsidR="00211CB8" w:rsidRPr="001A67DA">
        <w:rPr>
          <w:rFonts w:ascii="Times New Roman" w:hAnsi="Times New Roman" w:cs="Times New Roman"/>
          <w:sz w:val="24"/>
        </w:rPr>
        <w:t>,</w:t>
      </w:r>
      <w:r w:rsidR="00F456E1" w:rsidRPr="001A67DA">
        <w:rPr>
          <w:rFonts w:ascii="Times New Roman" w:hAnsi="Times New Roman" w:cs="Times New Roman"/>
          <w:sz w:val="24"/>
        </w:rPr>
        <w:t xml:space="preserve"> počasi povečuje.</w:t>
      </w:r>
      <w:r w:rsidR="00211CB8" w:rsidRPr="001A67DA">
        <w:rPr>
          <w:rFonts w:ascii="Times New Roman" w:hAnsi="Times New Roman" w:cs="Times New Roman"/>
          <w:sz w:val="24"/>
        </w:rPr>
        <w:t xml:space="preserve"> Največ proda na Skandinavskem trgu, kjer so lansko leto dosegli 26% prihodkov, drugi največji trg je francoski (22% prihodkov), </w:t>
      </w:r>
      <w:r w:rsidR="00211CB8" w:rsidRPr="001A67DA">
        <w:rPr>
          <w:rFonts w:ascii="Times New Roman" w:hAnsi="Times New Roman" w:cs="Times New Roman"/>
          <w:sz w:val="24"/>
        </w:rPr>
        <w:lastRenderedPageBreak/>
        <w:t>tretji pa nemški (19% prihodkov).</w:t>
      </w:r>
      <w:r w:rsidR="00F456E1" w:rsidRPr="001A67DA">
        <w:rPr>
          <w:rFonts w:ascii="Times New Roman" w:hAnsi="Times New Roman" w:cs="Times New Roman"/>
          <w:sz w:val="24"/>
        </w:rPr>
        <w:t xml:space="preserve"> </w:t>
      </w:r>
      <w:r w:rsidR="00991B63" w:rsidRPr="001A67DA">
        <w:rPr>
          <w:rFonts w:ascii="Times New Roman" w:hAnsi="Times New Roman" w:cs="Times New Roman"/>
          <w:sz w:val="24"/>
        </w:rPr>
        <w:t>Za leto</w:t>
      </w:r>
      <w:r w:rsidR="00941883" w:rsidRPr="001A67DA">
        <w:rPr>
          <w:rFonts w:ascii="Times New Roman" w:hAnsi="Times New Roman" w:cs="Times New Roman"/>
          <w:sz w:val="24"/>
        </w:rPr>
        <w:t xml:space="preserve"> 2012</w:t>
      </w:r>
      <w:r w:rsidR="00991B63" w:rsidRPr="001A67DA">
        <w:rPr>
          <w:rFonts w:ascii="Times New Roman" w:hAnsi="Times New Roman" w:cs="Times New Roman"/>
          <w:sz w:val="24"/>
        </w:rPr>
        <w:t xml:space="preserve"> </w:t>
      </w:r>
      <w:r w:rsidR="00E02F22" w:rsidRPr="001A67DA">
        <w:rPr>
          <w:rFonts w:ascii="Times New Roman" w:hAnsi="Times New Roman" w:cs="Times New Roman"/>
          <w:sz w:val="24"/>
        </w:rPr>
        <w:t>hkrati napovedujejo vstop na tur</w:t>
      </w:r>
      <w:r w:rsidR="00991B63" w:rsidRPr="001A67DA">
        <w:rPr>
          <w:rFonts w:ascii="Times New Roman" w:hAnsi="Times New Roman" w:cs="Times New Roman"/>
          <w:sz w:val="24"/>
        </w:rPr>
        <w:t xml:space="preserve">ški trg, ki je po njihovih ocenah za panogo </w:t>
      </w:r>
      <w:proofErr w:type="spellStart"/>
      <w:r w:rsidR="00991B63" w:rsidRPr="001A67DA">
        <w:rPr>
          <w:rFonts w:ascii="Times New Roman" w:hAnsi="Times New Roman" w:cs="Times New Roman"/>
          <w:sz w:val="24"/>
        </w:rPr>
        <w:t>karavaninga</w:t>
      </w:r>
      <w:proofErr w:type="spellEnd"/>
      <w:r w:rsidR="00991B63" w:rsidRPr="001A67DA">
        <w:rPr>
          <w:rFonts w:ascii="Times New Roman" w:hAnsi="Times New Roman" w:cs="Times New Roman"/>
          <w:sz w:val="24"/>
        </w:rPr>
        <w:t xml:space="preserve"> eden perspektivnejših novih trgov</w:t>
      </w:r>
      <w:r w:rsidR="00941883" w:rsidRPr="001A67DA">
        <w:rPr>
          <w:rFonts w:ascii="Times New Roman" w:hAnsi="Times New Roman" w:cs="Times New Roman"/>
          <w:sz w:val="24"/>
        </w:rPr>
        <w:t xml:space="preserve"> (</w:t>
      </w:r>
      <w:proofErr w:type="spellStart"/>
      <w:r w:rsidR="00941883" w:rsidRPr="001A67DA">
        <w:rPr>
          <w:rFonts w:ascii="Times New Roman" w:hAnsi="Times New Roman" w:cs="Times New Roman"/>
          <w:sz w:val="24"/>
        </w:rPr>
        <w:t>delo.si</w:t>
      </w:r>
      <w:proofErr w:type="spellEnd"/>
      <w:r w:rsidR="00941883" w:rsidRPr="001A67DA">
        <w:rPr>
          <w:rFonts w:ascii="Times New Roman" w:hAnsi="Times New Roman" w:cs="Times New Roman"/>
          <w:sz w:val="24"/>
        </w:rPr>
        <w:t>)</w:t>
      </w:r>
      <w:r w:rsidR="00991B63" w:rsidRPr="001A67DA">
        <w:rPr>
          <w:rFonts w:ascii="Times New Roman" w:hAnsi="Times New Roman" w:cs="Times New Roman"/>
          <w:sz w:val="24"/>
        </w:rPr>
        <w:t>.</w:t>
      </w:r>
      <w:r w:rsidR="00941883" w:rsidRPr="001A67DA">
        <w:rPr>
          <w:rFonts w:ascii="Times New Roman" w:hAnsi="Times New Roman" w:cs="Times New Roman"/>
          <w:sz w:val="24"/>
        </w:rPr>
        <w:t xml:space="preserve"> Po upoštevanju vseh teh dejstev, smo za 2012 predvideli približno 5% povečanje prihodkov, saj je po podatkih </w:t>
      </w:r>
      <w:proofErr w:type="spellStart"/>
      <w:r w:rsidR="00941883" w:rsidRPr="001A67DA">
        <w:rPr>
          <w:rFonts w:ascii="Times New Roman" w:hAnsi="Times New Roman" w:cs="Times New Roman"/>
          <w:sz w:val="24"/>
        </w:rPr>
        <w:t>European</w:t>
      </w:r>
      <w:proofErr w:type="spellEnd"/>
      <w:r w:rsidR="00941883" w:rsidRPr="001A67DA">
        <w:rPr>
          <w:rFonts w:ascii="Times New Roman" w:hAnsi="Times New Roman" w:cs="Times New Roman"/>
          <w:sz w:val="24"/>
        </w:rPr>
        <w:t xml:space="preserve"> </w:t>
      </w:r>
      <w:proofErr w:type="spellStart"/>
      <w:r w:rsidR="00941883" w:rsidRPr="001A67DA">
        <w:rPr>
          <w:rFonts w:ascii="Times New Roman" w:hAnsi="Times New Roman" w:cs="Times New Roman"/>
          <w:sz w:val="24"/>
        </w:rPr>
        <w:t>Caravan</w:t>
      </w:r>
      <w:proofErr w:type="spellEnd"/>
      <w:r w:rsidR="00941883" w:rsidRPr="001A67DA">
        <w:rPr>
          <w:rFonts w:ascii="Times New Roman" w:hAnsi="Times New Roman" w:cs="Times New Roman"/>
          <w:sz w:val="24"/>
        </w:rPr>
        <w:t xml:space="preserve"> </w:t>
      </w:r>
      <w:proofErr w:type="spellStart"/>
      <w:r w:rsidR="00941883" w:rsidRPr="001A67DA">
        <w:rPr>
          <w:rFonts w:ascii="Times New Roman" w:hAnsi="Times New Roman" w:cs="Times New Roman"/>
          <w:sz w:val="24"/>
        </w:rPr>
        <w:t>Federation</w:t>
      </w:r>
      <w:proofErr w:type="spellEnd"/>
      <w:r w:rsidR="007B351B" w:rsidRPr="001A67DA">
        <w:rPr>
          <w:rFonts w:ascii="Times New Roman" w:hAnsi="Times New Roman" w:cs="Times New Roman"/>
          <w:sz w:val="24"/>
        </w:rPr>
        <w:t xml:space="preserve"> (ECF)</w:t>
      </w:r>
      <w:r w:rsidR="00941883" w:rsidRPr="001A67DA">
        <w:rPr>
          <w:rFonts w:ascii="Times New Roman" w:hAnsi="Times New Roman" w:cs="Times New Roman"/>
          <w:sz w:val="24"/>
        </w:rPr>
        <w:t xml:space="preserve"> v prvem četrtletju 2012 bilo v Evropi prodanih za 2,3% več vozil za prostih čas, kot v enakem obdobju lani. Če sklepamo, da bo ta procent ostal okoli 2-3%, potem SAM lahko dodamo par procentov, saj je do sedaj vedno prodala več kot je bilo povprečje trga. Hkrati lahko po preteklih izkušnjah in rezultatih sklepamo, da prvo leto na turškem trgu ne bodo prodali veliko, saj se mora trg najprej spoznati z blagovno znamko.</w:t>
      </w:r>
      <w:r w:rsidR="006642DB" w:rsidRPr="001A67DA">
        <w:rPr>
          <w:rFonts w:ascii="Times New Roman" w:hAnsi="Times New Roman" w:cs="Times New Roman"/>
          <w:sz w:val="24"/>
        </w:rPr>
        <w:t xml:space="preserve"> Ob enem so rasti gospodarstev v Evropi na splošno napovedane manjše.</w:t>
      </w:r>
      <w:r w:rsidR="0067069B" w:rsidRPr="001A67DA">
        <w:rPr>
          <w:rFonts w:ascii="Times New Roman" w:hAnsi="Times New Roman" w:cs="Times New Roman"/>
          <w:sz w:val="24"/>
        </w:rPr>
        <w:t xml:space="preserve"> </w:t>
      </w:r>
      <w:r w:rsidR="00425ED1" w:rsidRPr="001A67DA">
        <w:rPr>
          <w:rFonts w:ascii="Times New Roman" w:hAnsi="Times New Roman" w:cs="Times New Roman"/>
          <w:sz w:val="24"/>
        </w:rPr>
        <w:t xml:space="preserve">Za naslednje leto, 2013, smo </w:t>
      </w:r>
      <w:r w:rsidR="0067069B" w:rsidRPr="001A67DA">
        <w:rPr>
          <w:rFonts w:ascii="Times New Roman" w:hAnsi="Times New Roman" w:cs="Times New Roman"/>
          <w:sz w:val="24"/>
        </w:rPr>
        <w:t>predvideli malenkostno večjo rast - 7% rast prihodkov - iz naslednjih razlogov: v tem letu SAM že lahko doseže nekoliko večjo prodajo na turškem trgu</w:t>
      </w:r>
      <w:r w:rsidR="006642DB" w:rsidRPr="001A67DA">
        <w:rPr>
          <w:rFonts w:ascii="Times New Roman" w:hAnsi="Times New Roman" w:cs="Times New Roman"/>
          <w:sz w:val="24"/>
        </w:rPr>
        <w:t>, ki je leta 2011 imel najvišjo stopnjo rasti BDP-ja 8,5% (</w:t>
      </w:r>
      <w:proofErr w:type="spellStart"/>
      <w:r w:rsidR="006642DB" w:rsidRPr="001A67DA">
        <w:rPr>
          <w:rFonts w:ascii="Times New Roman" w:hAnsi="Times New Roman" w:cs="Times New Roman"/>
          <w:sz w:val="24"/>
        </w:rPr>
        <w:t>Eurostat</w:t>
      </w:r>
      <w:proofErr w:type="spellEnd"/>
      <w:r w:rsidR="006642DB" w:rsidRPr="001A67DA">
        <w:rPr>
          <w:rFonts w:ascii="Times New Roman" w:hAnsi="Times New Roman" w:cs="Times New Roman"/>
          <w:sz w:val="24"/>
        </w:rPr>
        <w:t>) in bo po napovedih tudi v prihodnje dosegal najvišj</w:t>
      </w:r>
      <w:r w:rsidR="00CA2295" w:rsidRPr="001A67DA">
        <w:rPr>
          <w:rFonts w:ascii="Times New Roman" w:hAnsi="Times New Roman" w:cs="Times New Roman"/>
          <w:sz w:val="24"/>
        </w:rPr>
        <w:t>o</w:t>
      </w:r>
      <w:r w:rsidR="006642DB" w:rsidRPr="001A67DA">
        <w:rPr>
          <w:rFonts w:ascii="Times New Roman" w:hAnsi="Times New Roman" w:cs="Times New Roman"/>
          <w:sz w:val="24"/>
        </w:rPr>
        <w:t xml:space="preserve"> stopnje </w:t>
      </w:r>
      <w:r w:rsidR="001673CA" w:rsidRPr="001A67DA">
        <w:rPr>
          <w:rFonts w:ascii="Times New Roman" w:hAnsi="Times New Roman" w:cs="Times New Roman"/>
          <w:sz w:val="24"/>
        </w:rPr>
        <w:t xml:space="preserve">rasti </w:t>
      </w:r>
      <w:r w:rsidR="006642DB" w:rsidRPr="001A67DA">
        <w:rPr>
          <w:rFonts w:ascii="Times New Roman" w:hAnsi="Times New Roman" w:cs="Times New Roman"/>
          <w:sz w:val="24"/>
        </w:rPr>
        <w:t>med evropskimi državami</w:t>
      </w:r>
      <w:r w:rsidR="0067069B" w:rsidRPr="001A67DA">
        <w:rPr>
          <w:rFonts w:ascii="Times New Roman" w:hAnsi="Times New Roman" w:cs="Times New Roman"/>
          <w:sz w:val="24"/>
        </w:rPr>
        <w:t xml:space="preserve">; </w:t>
      </w:r>
      <w:r w:rsidR="006642DB" w:rsidRPr="001A67DA">
        <w:rPr>
          <w:rFonts w:ascii="Times New Roman" w:hAnsi="Times New Roman" w:cs="Times New Roman"/>
          <w:sz w:val="24"/>
        </w:rPr>
        <w:t>rezultati investicij</w:t>
      </w:r>
      <w:r w:rsidR="0067069B" w:rsidRPr="001A67DA">
        <w:rPr>
          <w:rFonts w:ascii="Times New Roman" w:hAnsi="Times New Roman" w:cs="Times New Roman"/>
          <w:sz w:val="24"/>
        </w:rPr>
        <w:t xml:space="preserve"> se </w:t>
      </w:r>
      <w:r w:rsidR="006642DB" w:rsidRPr="001A67DA">
        <w:rPr>
          <w:rFonts w:ascii="Times New Roman" w:hAnsi="Times New Roman" w:cs="Times New Roman"/>
          <w:sz w:val="24"/>
        </w:rPr>
        <w:t xml:space="preserve">skupaj z samimi investicijami </w:t>
      </w:r>
      <w:r w:rsidR="0067069B" w:rsidRPr="001A67DA">
        <w:rPr>
          <w:rFonts w:ascii="Times New Roman" w:hAnsi="Times New Roman" w:cs="Times New Roman"/>
          <w:sz w:val="24"/>
        </w:rPr>
        <w:t xml:space="preserve">počasi povečujejo, predvsem so se po njihovih besedah osredotočili na vlaganja v partnerstva in blagovno znamko, zaradi </w:t>
      </w:r>
      <w:r w:rsidR="006642DB" w:rsidRPr="001A67DA">
        <w:rPr>
          <w:rFonts w:ascii="Times New Roman" w:hAnsi="Times New Roman" w:cs="Times New Roman"/>
          <w:sz w:val="24"/>
        </w:rPr>
        <w:t xml:space="preserve">večje </w:t>
      </w:r>
      <w:r w:rsidR="0067069B" w:rsidRPr="001A67DA">
        <w:rPr>
          <w:rFonts w:ascii="Times New Roman" w:hAnsi="Times New Roman" w:cs="Times New Roman"/>
          <w:sz w:val="24"/>
        </w:rPr>
        <w:t>prepoznavnosti; napovedi rasti gospodarstev s treh največjih trgov so pozitivne in malenkostno večje kot za leto 2012</w:t>
      </w:r>
      <w:r w:rsidR="001673CA" w:rsidRPr="001A67DA">
        <w:rPr>
          <w:rFonts w:ascii="Times New Roman" w:hAnsi="Times New Roman" w:cs="Times New Roman"/>
          <w:sz w:val="24"/>
        </w:rPr>
        <w:t xml:space="preserve"> (</w:t>
      </w:r>
      <w:proofErr w:type="spellStart"/>
      <w:r w:rsidR="001673CA" w:rsidRPr="001A67DA">
        <w:rPr>
          <w:rFonts w:ascii="Times New Roman" w:hAnsi="Times New Roman" w:cs="Times New Roman"/>
          <w:sz w:val="24"/>
        </w:rPr>
        <w:t>Eurostat</w:t>
      </w:r>
      <w:proofErr w:type="spellEnd"/>
      <w:r w:rsidR="001673CA" w:rsidRPr="001A67DA">
        <w:rPr>
          <w:rFonts w:ascii="Times New Roman" w:hAnsi="Times New Roman" w:cs="Times New Roman"/>
          <w:sz w:val="24"/>
        </w:rPr>
        <w:t>)</w:t>
      </w:r>
      <w:r w:rsidR="0067069B" w:rsidRPr="001A67DA">
        <w:rPr>
          <w:rFonts w:ascii="Times New Roman" w:hAnsi="Times New Roman" w:cs="Times New Roman"/>
          <w:sz w:val="24"/>
        </w:rPr>
        <w:t>.</w:t>
      </w:r>
      <w:r w:rsidR="001673CA" w:rsidRPr="001A67DA">
        <w:rPr>
          <w:rFonts w:ascii="Times New Roman" w:hAnsi="Times New Roman" w:cs="Times New Roman"/>
          <w:sz w:val="24"/>
        </w:rPr>
        <w:t xml:space="preserve"> Večja gospodarska rast ne bo samo v skandinavskih državah, Franciji in Nemčiji, temveč tudi v ostalih gospodarstvih.</w:t>
      </w:r>
      <w:r w:rsidR="009757C4" w:rsidRPr="001A67DA">
        <w:rPr>
          <w:rFonts w:ascii="Times New Roman" w:hAnsi="Times New Roman" w:cs="Times New Roman"/>
          <w:sz w:val="24"/>
        </w:rPr>
        <w:t xml:space="preserve"> V letih 2014 in 2015 smo napovedali 6% rast letno, predvsem zaradi tega, ker se tovrstna rast ujem</w:t>
      </w:r>
      <w:r w:rsidR="00740B47" w:rsidRPr="001A67DA">
        <w:rPr>
          <w:rFonts w:ascii="Times New Roman" w:hAnsi="Times New Roman" w:cs="Times New Roman"/>
          <w:sz w:val="24"/>
        </w:rPr>
        <w:t>a z njihovim načrtom. Po besedah direktorice družbe Sonje Gole, bodo</w:t>
      </w:r>
      <w:r w:rsidR="00CA2295" w:rsidRPr="001A67DA">
        <w:rPr>
          <w:rFonts w:ascii="Times New Roman" w:hAnsi="Times New Roman" w:cs="Times New Roman"/>
          <w:sz w:val="24"/>
        </w:rPr>
        <w:t xml:space="preserve"> namreč</w:t>
      </w:r>
      <w:r w:rsidR="00740B47" w:rsidRPr="001A67DA">
        <w:rPr>
          <w:rFonts w:ascii="Times New Roman" w:hAnsi="Times New Roman" w:cs="Times New Roman"/>
          <w:sz w:val="24"/>
        </w:rPr>
        <w:t xml:space="preserve"> skušali </w:t>
      </w:r>
      <w:r w:rsidR="00CA2295" w:rsidRPr="001A67DA">
        <w:rPr>
          <w:rFonts w:ascii="Times New Roman" w:hAnsi="Times New Roman" w:cs="Times New Roman"/>
          <w:sz w:val="24"/>
        </w:rPr>
        <w:t>do leta</w:t>
      </w:r>
      <w:r w:rsidR="00740B47" w:rsidRPr="001A67DA">
        <w:rPr>
          <w:rFonts w:ascii="Times New Roman" w:hAnsi="Times New Roman" w:cs="Times New Roman"/>
          <w:sz w:val="24"/>
        </w:rPr>
        <w:t xml:space="preserve"> 2014 dose</w:t>
      </w:r>
      <w:r w:rsidR="00BF69FC" w:rsidRPr="001A67DA">
        <w:rPr>
          <w:rFonts w:ascii="Times New Roman" w:hAnsi="Times New Roman" w:cs="Times New Roman"/>
          <w:sz w:val="24"/>
        </w:rPr>
        <w:t>č</w:t>
      </w:r>
      <w:r w:rsidR="00740B47" w:rsidRPr="001A67DA">
        <w:rPr>
          <w:rFonts w:ascii="Times New Roman" w:hAnsi="Times New Roman" w:cs="Times New Roman"/>
          <w:sz w:val="24"/>
        </w:rPr>
        <w:t>i raven iz leta 2007, čeprav se zavedajo, da trg še ne bo na istem nivoju (</w:t>
      </w:r>
      <w:proofErr w:type="spellStart"/>
      <w:r w:rsidR="00740B47" w:rsidRPr="001A67DA">
        <w:rPr>
          <w:rFonts w:ascii="Times New Roman" w:hAnsi="Times New Roman" w:cs="Times New Roman"/>
          <w:sz w:val="24"/>
        </w:rPr>
        <w:t>finance.si</w:t>
      </w:r>
      <w:proofErr w:type="spellEnd"/>
      <w:r w:rsidR="00740B47" w:rsidRPr="001A67DA">
        <w:rPr>
          <w:rFonts w:ascii="Times New Roman" w:hAnsi="Times New Roman" w:cs="Times New Roman"/>
          <w:sz w:val="24"/>
        </w:rPr>
        <w:t>). Za dosego tega cilja je potrebna torej ocenjena rast. V 2014 se Sonji Gole izteče tudi mandat, ki ga je za 4 leta dobila leta oktobra 2010. To lahko za družbo postavlja nov me</w:t>
      </w:r>
      <w:r w:rsidR="00BF69FC" w:rsidRPr="001A67DA">
        <w:rPr>
          <w:rFonts w:ascii="Times New Roman" w:hAnsi="Times New Roman" w:cs="Times New Roman"/>
          <w:sz w:val="24"/>
        </w:rPr>
        <w:t>j</w:t>
      </w:r>
      <w:r w:rsidR="00740B47" w:rsidRPr="001A67DA">
        <w:rPr>
          <w:rFonts w:ascii="Times New Roman" w:hAnsi="Times New Roman" w:cs="Times New Roman"/>
          <w:sz w:val="24"/>
        </w:rPr>
        <w:t>nik, vendar smo mnenja, da bodo njeno uspešno delo potrdili z novim mandatom.</w:t>
      </w:r>
      <w:r w:rsidR="00A54EF6" w:rsidRPr="001A67DA">
        <w:rPr>
          <w:rFonts w:ascii="Times New Roman" w:hAnsi="Times New Roman" w:cs="Times New Roman"/>
          <w:sz w:val="24"/>
        </w:rPr>
        <w:t xml:space="preserve"> Poleg tega se lahko pričakuje, </w:t>
      </w:r>
      <w:r w:rsidR="0043522A" w:rsidRPr="001A67DA">
        <w:rPr>
          <w:rFonts w:ascii="Times New Roman" w:hAnsi="Times New Roman" w:cs="Times New Roman"/>
          <w:sz w:val="24"/>
        </w:rPr>
        <w:t xml:space="preserve">da bodo posledice krize vse milejše in z njimi tudi varčevalni ukrepi ter dostopnost do kreditov. </w:t>
      </w:r>
      <w:r w:rsidR="00DB7E1A" w:rsidRPr="001A67DA">
        <w:rPr>
          <w:rFonts w:ascii="Times New Roman" w:hAnsi="Times New Roman" w:cs="Times New Roman"/>
          <w:sz w:val="24"/>
        </w:rPr>
        <w:t>Za trg tovrstnih produktov je to še vedno dokaj visoka stopnja, vendar je skladna s strateško usmeritvijo dru</w:t>
      </w:r>
      <w:r w:rsidR="008D3BD5" w:rsidRPr="001A67DA">
        <w:rPr>
          <w:rFonts w:ascii="Times New Roman" w:hAnsi="Times New Roman" w:cs="Times New Roman"/>
          <w:sz w:val="24"/>
        </w:rPr>
        <w:t>žbe – rasti bolj kot raste trg.</w:t>
      </w:r>
    </w:p>
    <w:p w:rsidR="0075086A" w:rsidRDefault="0075086A" w:rsidP="00AD6EDE">
      <w:pPr>
        <w:pStyle w:val="Heading3"/>
        <w:numPr>
          <w:ilvl w:val="2"/>
          <w:numId w:val="4"/>
        </w:numPr>
        <w:spacing w:before="0" w:after="120"/>
        <w:rPr>
          <w:sz w:val="24"/>
        </w:rPr>
      </w:pPr>
      <w:bookmarkStart w:id="8" w:name="_Toc327382748"/>
      <w:r w:rsidRPr="0088140C">
        <w:rPr>
          <w:sz w:val="24"/>
        </w:rPr>
        <w:t>Čista obratna sredstva</w:t>
      </w:r>
      <w:bookmarkEnd w:id="8"/>
    </w:p>
    <w:p w:rsidR="00273D8E" w:rsidRPr="00273D8E" w:rsidRDefault="00273D8E" w:rsidP="00273D8E">
      <w:pPr>
        <w:pStyle w:val="Caption"/>
        <w:spacing w:after="120"/>
        <w:rPr>
          <w:b w:val="0"/>
          <w:color w:val="auto"/>
          <w:sz w:val="20"/>
        </w:rPr>
      </w:pPr>
      <w:bookmarkStart w:id="9" w:name="_Toc327382765"/>
      <w:r w:rsidRPr="00273D8E">
        <w:rPr>
          <w:b w:val="0"/>
          <w:color w:val="auto"/>
          <w:sz w:val="20"/>
        </w:rPr>
        <w:t xml:space="preserve">Tabela </w:t>
      </w:r>
      <w:r w:rsidR="005A3C60" w:rsidRPr="00273D8E">
        <w:rPr>
          <w:b w:val="0"/>
          <w:color w:val="auto"/>
          <w:sz w:val="20"/>
        </w:rPr>
        <w:fldChar w:fldCharType="begin"/>
      </w:r>
      <w:r w:rsidRPr="00273D8E">
        <w:rPr>
          <w:b w:val="0"/>
          <w:color w:val="auto"/>
          <w:sz w:val="20"/>
        </w:rPr>
        <w:instrText xml:space="preserve"> SEQ Tabela \* ARABIC </w:instrText>
      </w:r>
      <w:r w:rsidR="005A3C60" w:rsidRPr="00273D8E">
        <w:rPr>
          <w:b w:val="0"/>
          <w:color w:val="auto"/>
          <w:sz w:val="20"/>
        </w:rPr>
        <w:fldChar w:fldCharType="separate"/>
      </w:r>
      <w:r w:rsidR="00664B27">
        <w:rPr>
          <w:b w:val="0"/>
          <w:noProof/>
          <w:color w:val="auto"/>
          <w:sz w:val="20"/>
        </w:rPr>
        <w:t>3</w:t>
      </w:r>
      <w:r w:rsidR="005A3C60" w:rsidRPr="00273D8E">
        <w:rPr>
          <w:b w:val="0"/>
          <w:color w:val="auto"/>
          <w:sz w:val="20"/>
        </w:rPr>
        <w:fldChar w:fldCharType="end"/>
      </w:r>
      <w:r w:rsidRPr="00273D8E">
        <w:rPr>
          <w:b w:val="0"/>
          <w:color w:val="auto"/>
          <w:sz w:val="20"/>
        </w:rPr>
        <w:t>: Napoved čistih obratnih sredstev</w:t>
      </w:r>
      <w:bookmarkEnd w:id="9"/>
    </w:p>
    <w:tbl>
      <w:tblPr>
        <w:tblW w:w="11311" w:type="dxa"/>
        <w:tblInd w:w="-961" w:type="dxa"/>
        <w:tblLayout w:type="fixed"/>
        <w:tblCellMar>
          <w:left w:w="70" w:type="dxa"/>
          <w:right w:w="70" w:type="dxa"/>
        </w:tblCellMar>
        <w:tblLook w:val="04A0" w:firstRow="1" w:lastRow="0" w:firstColumn="1" w:lastColumn="0" w:noHBand="0" w:noVBand="1"/>
      </w:tblPr>
      <w:tblGrid>
        <w:gridCol w:w="1457"/>
        <w:gridCol w:w="1275"/>
        <w:gridCol w:w="1276"/>
        <w:gridCol w:w="1276"/>
        <w:gridCol w:w="1276"/>
        <w:gridCol w:w="1275"/>
        <w:gridCol w:w="1180"/>
        <w:gridCol w:w="1148"/>
        <w:gridCol w:w="1148"/>
      </w:tblGrid>
      <w:tr w:rsidR="001B0CC6" w:rsidRPr="003F0ACB" w:rsidTr="001B0CC6">
        <w:trPr>
          <w:trHeight w:val="439"/>
        </w:trPr>
        <w:tc>
          <w:tcPr>
            <w:tcW w:w="1457" w:type="dxa"/>
            <w:tcBorders>
              <w:bottom w:val="single" w:sz="4" w:space="0" w:color="auto"/>
              <w:right w:val="single" w:sz="4" w:space="0" w:color="auto"/>
            </w:tcBorders>
            <w:shd w:val="clear" w:color="auto" w:fill="auto"/>
            <w:noWrap/>
            <w:vAlign w:val="bottom"/>
          </w:tcPr>
          <w:p w:rsidR="0075086A" w:rsidRPr="0075086A" w:rsidRDefault="0075086A" w:rsidP="0075086A">
            <w:pPr>
              <w:spacing w:after="0" w:line="240" w:lineRule="auto"/>
              <w:rPr>
                <w:rFonts w:ascii="Arial" w:eastAsia="Times New Roman" w:hAnsi="Arial" w:cs="Arial"/>
                <w:sz w:val="20"/>
                <w:szCs w:val="20"/>
                <w:lang w:eastAsia="sl-SI"/>
              </w:rPr>
            </w:pPr>
          </w:p>
        </w:tc>
        <w:tc>
          <w:tcPr>
            <w:tcW w:w="1275" w:type="dxa"/>
            <w:tcBorders>
              <w:top w:val="single" w:sz="4" w:space="0" w:color="auto"/>
              <w:left w:val="nil"/>
              <w:bottom w:val="single" w:sz="4" w:space="0" w:color="auto"/>
              <w:right w:val="single" w:sz="4" w:space="0" w:color="auto"/>
            </w:tcBorders>
            <w:shd w:val="clear" w:color="auto" w:fill="E5B8B7" w:themeFill="accent2" w:themeFillTint="66"/>
            <w:noWrap/>
            <w:vAlign w:val="bottom"/>
          </w:tcPr>
          <w:p w:rsidR="0075086A" w:rsidRPr="0050366E" w:rsidRDefault="00AF32F5" w:rsidP="0075086A">
            <w:pPr>
              <w:spacing w:after="0" w:line="240" w:lineRule="auto"/>
              <w:jc w:val="right"/>
              <w:rPr>
                <w:rFonts w:ascii="Arial" w:eastAsia="Times New Roman" w:hAnsi="Arial" w:cs="Arial"/>
                <w:sz w:val="20"/>
                <w:szCs w:val="20"/>
                <w:lang w:eastAsia="sl-SI"/>
              </w:rPr>
            </w:pPr>
            <w:r w:rsidRPr="0050366E">
              <w:rPr>
                <w:rFonts w:ascii="Arial" w:eastAsia="Times New Roman" w:hAnsi="Arial" w:cs="Arial"/>
                <w:sz w:val="20"/>
                <w:szCs w:val="20"/>
                <w:lang w:eastAsia="sl-SI"/>
              </w:rPr>
              <w:t>2009</w:t>
            </w:r>
          </w:p>
        </w:tc>
        <w:tc>
          <w:tcPr>
            <w:tcW w:w="1276" w:type="dxa"/>
            <w:tcBorders>
              <w:top w:val="single" w:sz="4" w:space="0" w:color="auto"/>
              <w:left w:val="nil"/>
              <w:bottom w:val="single" w:sz="4" w:space="0" w:color="auto"/>
              <w:right w:val="single" w:sz="4" w:space="0" w:color="auto"/>
            </w:tcBorders>
            <w:shd w:val="clear" w:color="auto" w:fill="E5B8B7" w:themeFill="accent2" w:themeFillTint="66"/>
            <w:noWrap/>
            <w:vAlign w:val="bottom"/>
          </w:tcPr>
          <w:p w:rsidR="0075086A" w:rsidRPr="0050366E" w:rsidRDefault="00AF32F5" w:rsidP="0075086A">
            <w:pPr>
              <w:spacing w:after="0" w:line="240" w:lineRule="auto"/>
              <w:jc w:val="right"/>
              <w:rPr>
                <w:rFonts w:ascii="Arial" w:eastAsia="Times New Roman" w:hAnsi="Arial" w:cs="Arial"/>
                <w:sz w:val="20"/>
                <w:szCs w:val="20"/>
                <w:lang w:eastAsia="sl-SI"/>
              </w:rPr>
            </w:pPr>
            <w:r w:rsidRPr="0050366E">
              <w:rPr>
                <w:rFonts w:ascii="Arial" w:eastAsia="Times New Roman" w:hAnsi="Arial" w:cs="Arial"/>
                <w:sz w:val="20"/>
                <w:szCs w:val="20"/>
                <w:lang w:eastAsia="sl-SI"/>
              </w:rPr>
              <w:t>2010</w:t>
            </w:r>
          </w:p>
        </w:tc>
        <w:tc>
          <w:tcPr>
            <w:tcW w:w="1276" w:type="dxa"/>
            <w:tcBorders>
              <w:top w:val="single" w:sz="4" w:space="0" w:color="auto"/>
              <w:left w:val="nil"/>
              <w:bottom w:val="single" w:sz="4" w:space="0" w:color="auto"/>
              <w:right w:val="single" w:sz="4" w:space="0" w:color="auto"/>
            </w:tcBorders>
            <w:shd w:val="clear" w:color="auto" w:fill="E5B8B7" w:themeFill="accent2" w:themeFillTint="66"/>
            <w:noWrap/>
            <w:vAlign w:val="bottom"/>
          </w:tcPr>
          <w:p w:rsidR="0075086A" w:rsidRPr="0050366E" w:rsidRDefault="00AF32F5" w:rsidP="0075086A">
            <w:pPr>
              <w:spacing w:after="0" w:line="240" w:lineRule="auto"/>
              <w:jc w:val="right"/>
              <w:rPr>
                <w:rFonts w:ascii="Arial" w:eastAsia="Times New Roman" w:hAnsi="Arial" w:cs="Arial"/>
                <w:sz w:val="20"/>
                <w:szCs w:val="20"/>
                <w:lang w:eastAsia="sl-SI"/>
              </w:rPr>
            </w:pPr>
            <w:r w:rsidRPr="0050366E">
              <w:rPr>
                <w:rFonts w:ascii="Arial" w:eastAsia="Times New Roman" w:hAnsi="Arial" w:cs="Arial"/>
                <w:sz w:val="20"/>
                <w:szCs w:val="20"/>
                <w:lang w:eastAsia="sl-SI"/>
              </w:rPr>
              <w:t>2011</w:t>
            </w:r>
          </w:p>
        </w:tc>
        <w:tc>
          <w:tcPr>
            <w:tcW w:w="1276" w:type="dxa"/>
            <w:tcBorders>
              <w:top w:val="single" w:sz="4" w:space="0" w:color="auto"/>
              <w:left w:val="nil"/>
              <w:bottom w:val="single" w:sz="4" w:space="0" w:color="auto"/>
              <w:right w:val="single" w:sz="4" w:space="0" w:color="auto"/>
            </w:tcBorders>
            <w:shd w:val="clear" w:color="auto" w:fill="E5B8B7" w:themeFill="accent2" w:themeFillTint="66"/>
            <w:noWrap/>
            <w:vAlign w:val="bottom"/>
          </w:tcPr>
          <w:p w:rsidR="0075086A" w:rsidRPr="0050366E" w:rsidRDefault="00AF32F5" w:rsidP="0075086A">
            <w:pPr>
              <w:spacing w:after="0" w:line="240" w:lineRule="auto"/>
              <w:jc w:val="right"/>
              <w:rPr>
                <w:rFonts w:ascii="Arial" w:eastAsia="Times New Roman" w:hAnsi="Arial" w:cs="Arial"/>
                <w:sz w:val="20"/>
                <w:szCs w:val="20"/>
                <w:lang w:eastAsia="sl-SI"/>
              </w:rPr>
            </w:pPr>
            <w:r w:rsidRPr="0050366E">
              <w:rPr>
                <w:rFonts w:ascii="Arial" w:eastAsia="Times New Roman" w:hAnsi="Arial" w:cs="Arial"/>
                <w:sz w:val="20"/>
                <w:szCs w:val="20"/>
                <w:lang w:eastAsia="sl-SI"/>
              </w:rPr>
              <w:t>2012</w:t>
            </w:r>
          </w:p>
        </w:tc>
        <w:tc>
          <w:tcPr>
            <w:tcW w:w="1275" w:type="dxa"/>
            <w:tcBorders>
              <w:top w:val="single" w:sz="4" w:space="0" w:color="auto"/>
              <w:left w:val="nil"/>
              <w:bottom w:val="single" w:sz="4" w:space="0" w:color="auto"/>
              <w:right w:val="single" w:sz="4" w:space="0" w:color="auto"/>
            </w:tcBorders>
            <w:shd w:val="clear" w:color="auto" w:fill="E5B8B7" w:themeFill="accent2" w:themeFillTint="66"/>
            <w:noWrap/>
            <w:vAlign w:val="bottom"/>
          </w:tcPr>
          <w:p w:rsidR="0075086A" w:rsidRPr="0050366E" w:rsidRDefault="00AF32F5" w:rsidP="0075086A">
            <w:pPr>
              <w:spacing w:after="0" w:line="240" w:lineRule="auto"/>
              <w:jc w:val="right"/>
              <w:rPr>
                <w:rFonts w:ascii="Arial" w:eastAsia="Times New Roman" w:hAnsi="Arial" w:cs="Arial"/>
                <w:sz w:val="20"/>
                <w:szCs w:val="20"/>
                <w:lang w:eastAsia="sl-SI"/>
              </w:rPr>
            </w:pPr>
            <w:r w:rsidRPr="0050366E">
              <w:rPr>
                <w:rFonts w:ascii="Arial" w:eastAsia="Times New Roman" w:hAnsi="Arial" w:cs="Arial"/>
                <w:sz w:val="20"/>
                <w:szCs w:val="20"/>
                <w:lang w:eastAsia="sl-SI"/>
              </w:rPr>
              <w:t>2013</w:t>
            </w:r>
          </w:p>
        </w:tc>
        <w:tc>
          <w:tcPr>
            <w:tcW w:w="1180" w:type="dxa"/>
            <w:tcBorders>
              <w:top w:val="single" w:sz="4" w:space="0" w:color="auto"/>
              <w:left w:val="nil"/>
              <w:bottom w:val="single" w:sz="4" w:space="0" w:color="auto"/>
              <w:right w:val="single" w:sz="4" w:space="0" w:color="auto"/>
            </w:tcBorders>
            <w:shd w:val="clear" w:color="auto" w:fill="E5B8B7" w:themeFill="accent2" w:themeFillTint="66"/>
            <w:noWrap/>
            <w:vAlign w:val="bottom"/>
          </w:tcPr>
          <w:p w:rsidR="0075086A" w:rsidRPr="0050366E" w:rsidRDefault="00AF32F5" w:rsidP="0075086A">
            <w:pPr>
              <w:spacing w:after="0" w:line="240" w:lineRule="auto"/>
              <w:jc w:val="right"/>
              <w:rPr>
                <w:rFonts w:ascii="Arial" w:eastAsia="Times New Roman" w:hAnsi="Arial" w:cs="Arial"/>
                <w:sz w:val="20"/>
                <w:szCs w:val="20"/>
                <w:lang w:eastAsia="sl-SI"/>
              </w:rPr>
            </w:pPr>
            <w:r w:rsidRPr="0050366E">
              <w:rPr>
                <w:rFonts w:ascii="Arial" w:eastAsia="Times New Roman" w:hAnsi="Arial" w:cs="Arial"/>
                <w:sz w:val="20"/>
                <w:szCs w:val="20"/>
                <w:lang w:eastAsia="sl-SI"/>
              </w:rPr>
              <w:t>2014</w:t>
            </w:r>
          </w:p>
        </w:tc>
        <w:tc>
          <w:tcPr>
            <w:tcW w:w="1148" w:type="dxa"/>
            <w:tcBorders>
              <w:top w:val="single" w:sz="4" w:space="0" w:color="auto"/>
              <w:left w:val="nil"/>
              <w:bottom w:val="single" w:sz="4" w:space="0" w:color="auto"/>
              <w:right w:val="single" w:sz="4" w:space="0" w:color="auto"/>
            </w:tcBorders>
            <w:shd w:val="clear" w:color="auto" w:fill="E5B8B7" w:themeFill="accent2" w:themeFillTint="66"/>
            <w:noWrap/>
            <w:vAlign w:val="bottom"/>
          </w:tcPr>
          <w:p w:rsidR="0075086A" w:rsidRPr="0050366E" w:rsidRDefault="00AF32F5" w:rsidP="0075086A">
            <w:pPr>
              <w:spacing w:after="0" w:line="240" w:lineRule="auto"/>
              <w:jc w:val="right"/>
              <w:rPr>
                <w:rFonts w:ascii="Arial" w:eastAsia="Times New Roman" w:hAnsi="Arial" w:cs="Arial"/>
                <w:sz w:val="20"/>
                <w:szCs w:val="20"/>
                <w:lang w:eastAsia="sl-SI"/>
              </w:rPr>
            </w:pPr>
            <w:r w:rsidRPr="0050366E">
              <w:rPr>
                <w:rFonts w:ascii="Arial" w:eastAsia="Times New Roman" w:hAnsi="Arial" w:cs="Arial"/>
                <w:sz w:val="20"/>
                <w:szCs w:val="20"/>
                <w:lang w:eastAsia="sl-SI"/>
              </w:rPr>
              <w:t>2015</w:t>
            </w:r>
          </w:p>
        </w:tc>
        <w:tc>
          <w:tcPr>
            <w:tcW w:w="1148" w:type="dxa"/>
            <w:tcBorders>
              <w:top w:val="single" w:sz="4" w:space="0" w:color="auto"/>
              <w:left w:val="nil"/>
              <w:bottom w:val="single" w:sz="4" w:space="0" w:color="auto"/>
              <w:right w:val="single" w:sz="8" w:space="0" w:color="auto"/>
            </w:tcBorders>
            <w:shd w:val="clear" w:color="auto" w:fill="E5B8B7" w:themeFill="accent2" w:themeFillTint="66"/>
            <w:noWrap/>
            <w:vAlign w:val="bottom"/>
          </w:tcPr>
          <w:p w:rsidR="0075086A" w:rsidRPr="0050366E" w:rsidRDefault="00AF32F5" w:rsidP="0075086A">
            <w:pPr>
              <w:spacing w:after="0" w:line="240" w:lineRule="auto"/>
              <w:jc w:val="right"/>
              <w:rPr>
                <w:rFonts w:ascii="Arial" w:eastAsia="Times New Roman" w:hAnsi="Arial" w:cs="Arial"/>
                <w:sz w:val="20"/>
                <w:szCs w:val="20"/>
                <w:lang w:eastAsia="sl-SI"/>
              </w:rPr>
            </w:pPr>
            <w:r w:rsidRPr="0050366E">
              <w:rPr>
                <w:rFonts w:ascii="Arial" w:eastAsia="Times New Roman" w:hAnsi="Arial" w:cs="Arial"/>
                <w:sz w:val="20"/>
                <w:szCs w:val="20"/>
                <w:lang w:eastAsia="sl-SI"/>
              </w:rPr>
              <w:t>2016</w:t>
            </w:r>
          </w:p>
        </w:tc>
      </w:tr>
      <w:tr w:rsidR="001B0CC6" w:rsidRPr="0075086A" w:rsidTr="001B0CC6">
        <w:trPr>
          <w:trHeight w:val="439"/>
        </w:trPr>
        <w:tc>
          <w:tcPr>
            <w:tcW w:w="1457" w:type="dxa"/>
            <w:tcBorders>
              <w:top w:val="single" w:sz="4" w:space="0" w:color="auto"/>
              <w:left w:val="single" w:sz="8" w:space="0" w:color="auto"/>
              <w:bottom w:val="single" w:sz="4" w:space="0" w:color="auto"/>
              <w:right w:val="single" w:sz="4" w:space="0" w:color="auto"/>
            </w:tcBorders>
            <w:shd w:val="clear" w:color="auto" w:fill="E5B8B7" w:themeFill="accent2" w:themeFillTint="66"/>
            <w:noWrap/>
            <w:vAlign w:val="bottom"/>
            <w:hideMark/>
          </w:tcPr>
          <w:p w:rsidR="0075086A" w:rsidRPr="0075086A" w:rsidRDefault="0075086A" w:rsidP="0075086A">
            <w:pPr>
              <w:spacing w:after="0" w:line="240" w:lineRule="auto"/>
              <w:rPr>
                <w:rFonts w:ascii="Arial" w:eastAsia="Times New Roman" w:hAnsi="Arial" w:cs="Arial"/>
                <w:sz w:val="20"/>
                <w:szCs w:val="20"/>
                <w:lang w:eastAsia="sl-SI"/>
              </w:rPr>
            </w:pPr>
            <w:r w:rsidRPr="0075086A">
              <w:rPr>
                <w:rFonts w:ascii="Arial" w:eastAsia="Times New Roman" w:hAnsi="Arial" w:cs="Arial"/>
                <w:sz w:val="20"/>
                <w:szCs w:val="20"/>
                <w:lang w:eastAsia="sl-SI"/>
              </w:rPr>
              <w:t>Čista obratna sredstva</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5086A" w:rsidRPr="001B0CC6" w:rsidRDefault="0075086A" w:rsidP="0075086A">
            <w:pPr>
              <w:spacing w:after="0" w:line="240" w:lineRule="auto"/>
              <w:jc w:val="right"/>
              <w:rPr>
                <w:rFonts w:ascii="Arial" w:eastAsia="Times New Roman" w:hAnsi="Arial" w:cs="Arial"/>
                <w:sz w:val="18"/>
                <w:szCs w:val="20"/>
                <w:lang w:eastAsia="sl-SI"/>
              </w:rPr>
            </w:pPr>
            <w:r w:rsidRPr="001B0CC6">
              <w:rPr>
                <w:rFonts w:ascii="Arial" w:eastAsia="Times New Roman" w:hAnsi="Arial" w:cs="Arial"/>
                <w:sz w:val="18"/>
                <w:szCs w:val="20"/>
                <w:lang w:eastAsia="sl-SI"/>
              </w:rPr>
              <w:t>42.650.355</w:t>
            </w:r>
            <w:r w:rsidR="001B0CC6" w:rsidRPr="001B0CC6">
              <w:rPr>
                <w:rFonts w:ascii="Arial" w:eastAsia="Times New Roman" w:hAnsi="Arial" w:cs="Arial"/>
                <w:sz w:val="18"/>
                <w:szCs w:val="20"/>
                <w:lang w:eastAsia="sl-SI"/>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5086A" w:rsidRPr="001B0CC6" w:rsidRDefault="0075086A" w:rsidP="0075086A">
            <w:pPr>
              <w:spacing w:after="0" w:line="240" w:lineRule="auto"/>
              <w:jc w:val="right"/>
              <w:rPr>
                <w:rFonts w:ascii="Arial" w:eastAsia="Times New Roman" w:hAnsi="Arial" w:cs="Arial"/>
                <w:sz w:val="18"/>
                <w:szCs w:val="20"/>
                <w:lang w:eastAsia="sl-SI"/>
              </w:rPr>
            </w:pPr>
            <w:r w:rsidRPr="001B0CC6">
              <w:rPr>
                <w:rFonts w:ascii="Arial" w:eastAsia="Times New Roman" w:hAnsi="Arial" w:cs="Arial"/>
                <w:sz w:val="18"/>
                <w:szCs w:val="20"/>
                <w:lang w:eastAsia="sl-SI"/>
              </w:rPr>
              <w:t>42.697.367</w:t>
            </w:r>
            <w:r w:rsidR="001B0CC6" w:rsidRPr="001B0CC6">
              <w:rPr>
                <w:rFonts w:ascii="Arial" w:eastAsia="Times New Roman" w:hAnsi="Arial" w:cs="Arial"/>
                <w:sz w:val="18"/>
                <w:szCs w:val="20"/>
                <w:lang w:eastAsia="sl-SI"/>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5086A" w:rsidRPr="001B0CC6" w:rsidRDefault="0075086A" w:rsidP="0075086A">
            <w:pPr>
              <w:spacing w:after="0" w:line="240" w:lineRule="auto"/>
              <w:jc w:val="right"/>
              <w:rPr>
                <w:rFonts w:ascii="Arial" w:eastAsia="Times New Roman" w:hAnsi="Arial" w:cs="Arial"/>
                <w:sz w:val="18"/>
                <w:szCs w:val="20"/>
                <w:lang w:eastAsia="sl-SI"/>
              </w:rPr>
            </w:pPr>
            <w:r w:rsidRPr="001B0CC6">
              <w:rPr>
                <w:rFonts w:ascii="Arial" w:eastAsia="Times New Roman" w:hAnsi="Arial" w:cs="Arial"/>
                <w:sz w:val="18"/>
                <w:szCs w:val="20"/>
                <w:lang w:eastAsia="sl-SI"/>
              </w:rPr>
              <w:t>49.475.615</w:t>
            </w:r>
            <w:r w:rsidR="001B0CC6" w:rsidRPr="001B0CC6">
              <w:rPr>
                <w:rFonts w:ascii="Arial" w:eastAsia="Times New Roman" w:hAnsi="Arial" w:cs="Arial"/>
                <w:sz w:val="18"/>
                <w:szCs w:val="20"/>
                <w:lang w:eastAsia="sl-SI"/>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5086A" w:rsidRPr="001B0CC6" w:rsidRDefault="0075086A" w:rsidP="0075086A">
            <w:pPr>
              <w:spacing w:after="0" w:line="240" w:lineRule="auto"/>
              <w:jc w:val="right"/>
              <w:rPr>
                <w:rFonts w:ascii="Arial" w:eastAsia="Times New Roman" w:hAnsi="Arial" w:cs="Arial"/>
                <w:sz w:val="18"/>
                <w:szCs w:val="20"/>
                <w:lang w:eastAsia="sl-SI"/>
              </w:rPr>
            </w:pPr>
            <w:r w:rsidRPr="001B0CC6">
              <w:rPr>
                <w:rFonts w:ascii="Arial" w:eastAsia="Times New Roman" w:hAnsi="Arial" w:cs="Arial"/>
                <w:sz w:val="18"/>
                <w:szCs w:val="20"/>
                <w:lang w:eastAsia="sl-SI"/>
              </w:rPr>
              <w:t>51.387.780</w:t>
            </w:r>
            <w:r w:rsidR="001B0CC6">
              <w:rPr>
                <w:rFonts w:ascii="Arial" w:eastAsia="Times New Roman" w:hAnsi="Arial" w:cs="Arial"/>
                <w:sz w:val="18"/>
                <w:szCs w:val="20"/>
                <w:lang w:eastAsia="sl-SI"/>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5086A" w:rsidRPr="001B0CC6" w:rsidRDefault="0075086A" w:rsidP="0075086A">
            <w:pPr>
              <w:spacing w:after="0" w:line="240" w:lineRule="auto"/>
              <w:jc w:val="right"/>
              <w:rPr>
                <w:rFonts w:ascii="Arial" w:eastAsia="Times New Roman" w:hAnsi="Arial" w:cs="Arial"/>
                <w:sz w:val="18"/>
                <w:szCs w:val="20"/>
                <w:lang w:eastAsia="sl-SI"/>
              </w:rPr>
            </w:pPr>
            <w:r w:rsidRPr="001B0CC6">
              <w:rPr>
                <w:rFonts w:ascii="Arial" w:eastAsia="Times New Roman" w:hAnsi="Arial" w:cs="Arial"/>
                <w:sz w:val="18"/>
                <w:szCs w:val="20"/>
                <w:lang w:eastAsia="sl-SI"/>
              </w:rPr>
              <w:t>54.684.461</w:t>
            </w:r>
            <w:r w:rsidR="001B0CC6">
              <w:rPr>
                <w:rFonts w:ascii="Arial" w:eastAsia="Times New Roman" w:hAnsi="Arial" w:cs="Arial"/>
                <w:sz w:val="18"/>
                <w:szCs w:val="20"/>
                <w:lang w:eastAsia="sl-SI"/>
              </w:rPr>
              <w:t xml:space="preserve">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5086A" w:rsidRPr="001B0CC6" w:rsidRDefault="0075086A" w:rsidP="0075086A">
            <w:pPr>
              <w:spacing w:after="0" w:line="240" w:lineRule="auto"/>
              <w:jc w:val="right"/>
              <w:rPr>
                <w:rFonts w:ascii="Arial" w:eastAsia="Times New Roman" w:hAnsi="Arial" w:cs="Arial"/>
                <w:sz w:val="18"/>
                <w:szCs w:val="20"/>
                <w:lang w:eastAsia="sl-SI"/>
              </w:rPr>
            </w:pPr>
            <w:r w:rsidRPr="001B0CC6">
              <w:rPr>
                <w:rFonts w:ascii="Arial" w:eastAsia="Times New Roman" w:hAnsi="Arial" w:cs="Arial"/>
                <w:sz w:val="18"/>
                <w:szCs w:val="20"/>
                <w:lang w:eastAsia="sl-SI"/>
              </w:rPr>
              <w:t>57.328.545</w:t>
            </w:r>
            <w:r w:rsidR="001B0CC6">
              <w:rPr>
                <w:rFonts w:ascii="Arial" w:eastAsia="Times New Roman" w:hAnsi="Arial" w:cs="Arial"/>
                <w:sz w:val="18"/>
                <w:szCs w:val="20"/>
                <w:lang w:eastAsia="sl-SI"/>
              </w:rPr>
              <w:t>€</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75086A" w:rsidRPr="001B0CC6" w:rsidRDefault="0075086A" w:rsidP="0075086A">
            <w:pPr>
              <w:spacing w:after="0" w:line="240" w:lineRule="auto"/>
              <w:jc w:val="right"/>
              <w:rPr>
                <w:rFonts w:ascii="Arial" w:eastAsia="Times New Roman" w:hAnsi="Arial" w:cs="Arial"/>
                <w:sz w:val="18"/>
                <w:szCs w:val="20"/>
                <w:lang w:eastAsia="sl-SI"/>
              </w:rPr>
            </w:pPr>
            <w:r w:rsidRPr="001B0CC6">
              <w:rPr>
                <w:rFonts w:ascii="Arial" w:eastAsia="Times New Roman" w:hAnsi="Arial" w:cs="Arial"/>
                <w:sz w:val="18"/>
                <w:szCs w:val="20"/>
                <w:lang w:eastAsia="sl-SI"/>
              </w:rPr>
              <w:t>60.768.257</w:t>
            </w:r>
            <w:r w:rsidR="001B0CC6">
              <w:rPr>
                <w:rFonts w:ascii="Arial" w:eastAsia="Times New Roman" w:hAnsi="Arial" w:cs="Arial"/>
                <w:sz w:val="18"/>
                <w:szCs w:val="20"/>
                <w:lang w:eastAsia="sl-SI"/>
              </w:rPr>
              <w:t>€</w:t>
            </w:r>
          </w:p>
        </w:tc>
        <w:tc>
          <w:tcPr>
            <w:tcW w:w="1148" w:type="dxa"/>
            <w:tcBorders>
              <w:top w:val="single" w:sz="4" w:space="0" w:color="auto"/>
              <w:left w:val="nil"/>
              <w:bottom w:val="single" w:sz="4" w:space="0" w:color="auto"/>
              <w:right w:val="single" w:sz="8" w:space="0" w:color="auto"/>
            </w:tcBorders>
            <w:shd w:val="clear" w:color="auto" w:fill="auto"/>
            <w:noWrap/>
            <w:vAlign w:val="bottom"/>
            <w:hideMark/>
          </w:tcPr>
          <w:p w:rsidR="0075086A" w:rsidRPr="001B0CC6" w:rsidRDefault="0075086A" w:rsidP="0075086A">
            <w:pPr>
              <w:spacing w:after="0" w:line="240" w:lineRule="auto"/>
              <w:jc w:val="right"/>
              <w:rPr>
                <w:rFonts w:ascii="Arial" w:eastAsia="Times New Roman" w:hAnsi="Arial" w:cs="Arial"/>
                <w:sz w:val="18"/>
                <w:szCs w:val="20"/>
                <w:lang w:eastAsia="sl-SI"/>
              </w:rPr>
            </w:pPr>
            <w:r w:rsidRPr="001B0CC6">
              <w:rPr>
                <w:rFonts w:ascii="Arial" w:eastAsia="Times New Roman" w:hAnsi="Arial" w:cs="Arial"/>
                <w:sz w:val="18"/>
                <w:szCs w:val="20"/>
                <w:lang w:eastAsia="sl-SI"/>
              </w:rPr>
              <w:t>61.548.117</w:t>
            </w:r>
            <w:r w:rsidR="001B0CC6">
              <w:rPr>
                <w:rFonts w:ascii="Arial" w:eastAsia="Times New Roman" w:hAnsi="Arial" w:cs="Arial"/>
                <w:sz w:val="18"/>
                <w:szCs w:val="20"/>
                <w:lang w:eastAsia="sl-SI"/>
              </w:rPr>
              <w:t>€</w:t>
            </w:r>
          </w:p>
        </w:tc>
      </w:tr>
      <w:tr w:rsidR="001B0CC6" w:rsidRPr="0075086A" w:rsidTr="001B0CC6">
        <w:trPr>
          <w:trHeight w:val="439"/>
        </w:trPr>
        <w:tc>
          <w:tcPr>
            <w:tcW w:w="1457" w:type="dxa"/>
            <w:tcBorders>
              <w:top w:val="nil"/>
              <w:left w:val="single" w:sz="8" w:space="0" w:color="auto"/>
              <w:bottom w:val="single" w:sz="4" w:space="0" w:color="auto"/>
              <w:right w:val="single" w:sz="4" w:space="0" w:color="auto"/>
            </w:tcBorders>
            <w:shd w:val="clear" w:color="auto" w:fill="E5B8B7" w:themeFill="accent2" w:themeFillTint="66"/>
            <w:noWrap/>
            <w:vAlign w:val="bottom"/>
            <w:hideMark/>
          </w:tcPr>
          <w:p w:rsidR="0075086A" w:rsidRPr="0075086A" w:rsidRDefault="0075086A" w:rsidP="0075086A">
            <w:pPr>
              <w:spacing w:after="0" w:line="240" w:lineRule="auto"/>
              <w:rPr>
                <w:rFonts w:ascii="Arial" w:eastAsia="Times New Roman" w:hAnsi="Arial" w:cs="Arial"/>
                <w:sz w:val="20"/>
                <w:szCs w:val="20"/>
                <w:lang w:eastAsia="sl-SI"/>
              </w:rPr>
            </w:pPr>
            <w:r w:rsidRPr="0075086A">
              <w:rPr>
                <w:rFonts w:ascii="Arial" w:eastAsia="Times New Roman" w:hAnsi="Arial" w:cs="Arial"/>
                <w:sz w:val="20"/>
                <w:szCs w:val="20"/>
                <w:lang w:eastAsia="sl-SI"/>
              </w:rPr>
              <w:t>ČOS/ Prihodki</w:t>
            </w:r>
          </w:p>
        </w:tc>
        <w:tc>
          <w:tcPr>
            <w:tcW w:w="1275" w:type="dxa"/>
            <w:tcBorders>
              <w:top w:val="nil"/>
              <w:left w:val="nil"/>
              <w:bottom w:val="single" w:sz="4" w:space="0" w:color="auto"/>
              <w:right w:val="single" w:sz="4" w:space="0" w:color="auto"/>
            </w:tcBorders>
            <w:shd w:val="clear" w:color="auto" w:fill="auto"/>
            <w:noWrap/>
            <w:vAlign w:val="bottom"/>
            <w:hideMark/>
          </w:tcPr>
          <w:p w:rsidR="0075086A" w:rsidRPr="001B0CC6" w:rsidRDefault="0075086A" w:rsidP="0075086A">
            <w:pPr>
              <w:spacing w:after="0" w:line="240" w:lineRule="auto"/>
              <w:jc w:val="right"/>
              <w:rPr>
                <w:rFonts w:ascii="Arial" w:eastAsia="Times New Roman" w:hAnsi="Arial" w:cs="Arial"/>
                <w:sz w:val="18"/>
                <w:szCs w:val="20"/>
                <w:lang w:eastAsia="sl-SI"/>
              </w:rPr>
            </w:pPr>
            <w:r w:rsidRPr="001B0CC6">
              <w:rPr>
                <w:rFonts w:ascii="Arial" w:eastAsia="Times New Roman" w:hAnsi="Arial" w:cs="Arial"/>
                <w:sz w:val="18"/>
                <w:szCs w:val="20"/>
                <w:lang w:eastAsia="sl-SI"/>
              </w:rPr>
              <w:t>21,3%</w:t>
            </w:r>
          </w:p>
        </w:tc>
        <w:tc>
          <w:tcPr>
            <w:tcW w:w="1276" w:type="dxa"/>
            <w:tcBorders>
              <w:top w:val="nil"/>
              <w:left w:val="nil"/>
              <w:bottom w:val="single" w:sz="4" w:space="0" w:color="auto"/>
              <w:right w:val="single" w:sz="4" w:space="0" w:color="auto"/>
            </w:tcBorders>
            <w:shd w:val="clear" w:color="auto" w:fill="auto"/>
            <w:noWrap/>
            <w:vAlign w:val="bottom"/>
            <w:hideMark/>
          </w:tcPr>
          <w:p w:rsidR="0075086A" w:rsidRPr="001B0CC6" w:rsidRDefault="0075086A" w:rsidP="0075086A">
            <w:pPr>
              <w:spacing w:after="0" w:line="240" w:lineRule="auto"/>
              <w:jc w:val="right"/>
              <w:rPr>
                <w:rFonts w:ascii="Arial" w:eastAsia="Times New Roman" w:hAnsi="Arial" w:cs="Arial"/>
                <w:sz w:val="18"/>
                <w:szCs w:val="20"/>
                <w:lang w:eastAsia="sl-SI"/>
              </w:rPr>
            </w:pPr>
            <w:r w:rsidRPr="001B0CC6">
              <w:rPr>
                <w:rFonts w:ascii="Arial" w:eastAsia="Times New Roman" w:hAnsi="Arial" w:cs="Arial"/>
                <w:sz w:val="18"/>
                <w:szCs w:val="20"/>
                <w:lang w:eastAsia="sl-SI"/>
              </w:rPr>
              <w:t>18,0%</w:t>
            </w:r>
          </w:p>
        </w:tc>
        <w:tc>
          <w:tcPr>
            <w:tcW w:w="1276" w:type="dxa"/>
            <w:tcBorders>
              <w:top w:val="nil"/>
              <w:left w:val="nil"/>
              <w:bottom w:val="single" w:sz="4" w:space="0" w:color="auto"/>
              <w:right w:val="single" w:sz="4" w:space="0" w:color="auto"/>
            </w:tcBorders>
            <w:shd w:val="clear" w:color="auto" w:fill="auto"/>
            <w:noWrap/>
            <w:vAlign w:val="bottom"/>
            <w:hideMark/>
          </w:tcPr>
          <w:p w:rsidR="0075086A" w:rsidRPr="001B0CC6" w:rsidRDefault="0075086A" w:rsidP="0075086A">
            <w:pPr>
              <w:spacing w:after="0" w:line="240" w:lineRule="auto"/>
              <w:jc w:val="right"/>
              <w:rPr>
                <w:rFonts w:ascii="Arial" w:eastAsia="Times New Roman" w:hAnsi="Arial" w:cs="Arial"/>
                <w:sz w:val="18"/>
                <w:szCs w:val="20"/>
                <w:lang w:eastAsia="sl-SI"/>
              </w:rPr>
            </w:pPr>
            <w:r w:rsidRPr="001B0CC6">
              <w:rPr>
                <w:rFonts w:ascii="Arial" w:eastAsia="Times New Roman" w:hAnsi="Arial" w:cs="Arial"/>
                <w:sz w:val="18"/>
                <w:szCs w:val="20"/>
                <w:lang w:eastAsia="sl-SI"/>
              </w:rPr>
              <w:t>18,5%</w:t>
            </w:r>
          </w:p>
        </w:tc>
        <w:tc>
          <w:tcPr>
            <w:tcW w:w="1276" w:type="dxa"/>
            <w:tcBorders>
              <w:top w:val="nil"/>
              <w:left w:val="nil"/>
              <w:bottom w:val="single" w:sz="4" w:space="0" w:color="auto"/>
              <w:right w:val="single" w:sz="4" w:space="0" w:color="auto"/>
            </w:tcBorders>
            <w:shd w:val="clear" w:color="auto" w:fill="auto"/>
            <w:noWrap/>
            <w:vAlign w:val="bottom"/>
            <w:hideMark/>
          </w:tcPr>
          <w:p w:rsidR="0075086A" w:rsidRPr="001B0CC6" w:rsidRDefault="0075086A" w:rsidP="0075086A">
            <w:pPr>
              <w:spacing w:after="0" w:line="240" w:lineRule="auto"/>
              <w:jc w:val="right"/>
              <w:rPr>
                <w:rFonts w:ascii="Arial" w:eastAsia="Times New Roman" w:hAnsi="Arial" w:cs="Arial"/>
                <w:sz w:val="18"/>
                <w:szCs w:val="20"/>
                <w:lang w:eastAsia="sl-SI"/>
              </w:rPr>
            </w:pPr>
            <w:r w:rsidRPr="001B0CC6">
              <w:rPr>
                <w:rFonts w:ascii="Arial" w:eastAsia="Times New Roman" w:hAnsi="Arial" w:cs="Arial"/>
                <w:sz w:val="18"/>
                <w:szCs w:val="20"/>
                <w:lang w:eastAsia="sl-SI"/>
              </w:rPr>
              <w:t>18,3%</w:t>
            </w:r>
          </w:p>
        </w:tc>
        <w:tc>
          <w:tcPr>
            <w:tcW w:w="1275" w:type="dxa"/>
            <w:tcBorders>
              <w:top w:val="nil"/>
              <w:left w:val="nil"/>
              <w:bottom w:val="single" w:sz="4" w:space="0" w:color="auto"/>
              <w:right w:val="single" w:sz="4" w:space="0" w:color="auto"/>
            </w:tcBorders>
            <w:shd w:val="clear" w:color="auto" w:fill="auto"/>
            <w:noWrap/>
            <w:vAlign w:val="bottom"/>
            <w:hideMark/>
          </w:tcPr>
          <w:p w:rsidR="0075086A" w:rsidRPr="001B0CC6" w:rsidRDefault="0075086A" w:rsidP="0075086A">
            <w:pPr>
              <w:spacing w:after="0" w:line="240" w:lineRule="auto"/>
              <w:jc w:val="right"/>
              <w:rPr>
                <w:rFonts w:ascii="Arial" w:eastAsia="Times New Roman" w:hAnsi="Arial" w:cs="Arial"/>
                <w:sz w:val="18"/>
                <w:szCs w:val="20"/>
                <w:lang w:eastAsia="sl-SI"/>
              </w:rPr>
            </w:pPr>
            <w:r w:rsidRPr="001B0CC6">
              <w:rPr>
                <w:rFonts w:ascii="Arial" w:eastAsia="Times New Roman" w:hAnsi="Arial" w:cs="Arial"/>
                <w:sz w:val="18"/>
                <w:szCs w:val="20"/>
                <w:lang w:eastAsia="sl-SI"/>
              </w:rPr>
              <w:t>18,2%</w:t>
            </w:r>
          </w:p>
        </w:tc>
        <w:tc>
          <w:tcPr>
            <w:tcW w:w="1180" w:type="dxa"/>
            <w:tcBorders>
              <w:top w:val="nil"/>
              <w:left w:val="nil"/>
              <w:bottom w:val="single" w:sz="4" w:space="0" w:color="auto"/>
              <w:right w:val="single" w:sz="4" w:space="0" w:color="auto"/>
            </w:tcBorders>
            <w:shd w:val="clear" w:color="auto" w:fill="auto"/>
            <w:noWrap/>
            <w:vAlign w:val="bottom"/>
            <w:hideMark/>
          </w:tcPr>
          <w:p w:rsidR="0075086A" w:rsidRPr="001B0CC6" w:rsidRDefault="0075086A" w:rsidP="0075086A">
            <w:pPr>
              <w:spacing w:after="0" w:line="240" w:lineRule="auto"/>
              <w:jc w:val="right"/>
              <w:rPr>
                <w:rFonts w:ascii="Arial" w:eastAsia="Times New Roman" w:hAnsi="Arial" w:cs="Arial"/>
                <w:sz w:val="18"/>
                <w:szCs w:val="20"/>
                <w:lang w:eastAsia="sl-SI"/>
              </w:rPr>
            </w:pPr>
            <w:r w:rsidRPr="001B0CC6">
              <w:rPr>
                <w:rFonts w:ascii="Arial" w:eastAsia="Times New Roman" w:hAnsi="Arial" w:cs="Arial"/>
                <w:sz w:val="18"/>
                <w:szCs w:val="20"/>
                <w:lang w:eastAsia="sl-SI"/>
              </w:rPr>
              <w:t>18,0%</w:t>
            </w:r>
          </w:p>
        </w:tc>
        <w:tc>
          <w:tcPr>
            <w:tcW w:w="1148" w:type="dxa"/>
            <w:tcBorders>
              <w:top w:val="nil"/>
              <w:left w:val="nil"/>
              <w:bottom w:val="single" w:sz="4" w:space="0" w:color="auto"/>
              <w:right w:val="single" w:sz="4" w:space="0" w:color="auto"/>
            </w:tcBorders>
            <w:shd w:val="clear" w:color="auto" w:fill="auto"/>
            <w:noWrap/>
            <w:vAlign w:val="bottom"/>
            <w:hideMark/>
          </w:tcPr>
          <w:p w:rsidR="0075086A" w:rsidRPr="001B0CC6" w:rsidRDefault="0075086A" w:rsidP="0075086A">
            <w:pPr>
              <w:spacing w:after="0" w:line="240" w:lineRule="auto"/>
              <w:jc w:val="right"/>
              <w:rPr>
                <w:rFonts w:ascii="Arial" w:eastAsia="Times New Roman" w:hAnsi="Arial" w:cs="Arial"/>
                <w:sz w:val="18"/>
                <w:szCs w:val="20"/>
                <w:lang w:eastAsia="sl-SI"/>
              </w:rPr>
            </w:pPr>
            <w:r w:rsidRPr="001B0CC6">
              <w:rPr>
                <w:rFonts w:ascii="Arial" w:eastAsia="Times New Roman" w:hAnsi="Arial" w:cs="Arial"/>
                <w:sz w:val="18"/>
                <w:szCs w:val="20"/>
                <w:lang w:eastAsia="sl-SI"/>
              </w:rPr>
              <w:t>18,0%</w:t>
            </w:r>
          </w:p>
        </w:tc>
        <w:tc>
          <w:tcPr>
            <w:tcW w:w="1148" w:type="dxa"/>
            <w:tcBorders>
              <w:top w:val="nil"/>
              <w:left w:val="nil"/>
              <w:bottom w:val="single" w:sz="4" w:space="0" w:color="auto"/>
              <w:right w:val="single" w:sz="8" w:space="0" w:color="auto"/>
            </w:tcBorders>
            <w:shd w:val="clear" w:color="auto" w:fill="auto"/>
            <w:noWrap/>
            <w:vAlign w:val="bottom"/>
            <w:hideMark/>
          </w:tcPr>
          <w:p w:rsidR="0075086A" w:rsidRPr="001B0CC6" w:rsidRDefault="0075086A" w:rsidP="0075086A">
            <w:pPr>
              <w:spacing w:after="0" w:line="240" w:lineRule="auto"/>
              <w:jc w:val="right"/>
              <w:rPr>
                <w:rFonts w:ascii="Arial" w:eastAsia="Times New Roman" w:hAnsi="Arial" w:cs="Arial"/>
                <w:sz w:val="18"/>
                <w:szCs w:val="20"/>
                <w:lang w:eastAsia="sl-SI"/>
              </w:rPr>
            </w:pPr>
            <w:r w:rsidRPr="001B0CC6">
              <w:rPr>
                <w:rFonts w:ascii="Arial" w:eastAsia="Times New Roman" w:hAnsi="Arial" w:cs="Arial"/>
                <w:sz w:val="18"/>
                <w:szCs w:val="20"/>
                <w:lang w:eastAsia="sl-SI"/>
              </w:rPr>
              <w:t>17,7%</w:t>
            </w:r>
          </w:p>
        </w:tc>
      </w:tr>
      <w:tr w:rsidR="001B0CC6" w:rsidRPr="0075086A" w:rsidTr="001B0CC6">
        <w:trPr>
          <w:trHeight w:val="461"/>
        </w:trPr>
        <w:tc>
          <w:tcPr>
            <w:tcW w:w="1457" w:type="dxa"/>
            <w:tcBorders>
              <w:top w:val="nil"/>
              <w:left w:val="single" w:sz="8" w:space="0" w:color="auto"/>
              <w:bottom w:val="single" w:sz="8" w:space="0" w:color="auto"/>
              <w:right w:val="single" w:sz="4" w:space="0" w:color="auto"/>
            </w:tcBorders>
            <w:shd w:val="clear" w:color="auto" w:fill="E5B8B7" w:themeFill="accent2" w:themeFillTint="66"/>
            <w:noWrap/>
            <w:vAlign w:val="bottom"/>
            <w:hideMark/>
          </w:tcPr>
          <w:p w:rsidR="0075086A" w:rsidRPr="0075086A" w:rsidRDefault="0075086A" w:rsidP="0075086A">
            <w:pPr>
              <w:spacing w:after="0" w:line="240" w:lineRule="auto"/>
              <w:rPr>
                <w:rFonts w:ascii="Arial" w:eastAsia="Times New Roman" w:hAnsi="Arial" w:cs="Arial"/>
                <w:sz w:val="20"/>
                <w:szCs w:val="20"/>
                <w:lang w:eastAsia="sl-SI"/>
              </w:rPr>
            </w:pPr>
            <w:r w:rsidRPr="0075086A">
              <w:rPr>
                <w:rFonts w:ascii="Arial" w:eastAsia="Times New Roman" w:hAnsi="Arial" w:cs="Arial"/>
                <w:sz w:val="20"/>
                <w:szCs w:val="20"/>
                <w:lang w:eastAsia="sl-SI"/>
              </w:rPr>
              <w:t>Spremembe v ČOS</w:t>
            </w:r>
          </w:p>
        </w:tc>
        <w:tc>
          <w:tcPr>
            <w:tcW w:w="1275" w:type="dxa"/>
            <w:tcBorders>
              <w:top w:val="nil"/>
              <w:left w:val="nil"/>
              <w:bottom w:val="single" w:sz="8" w:space="0" w:color="auto"/>
              <w:right w:val="single" w:sz="4" w:space="0" w:color="auto"/>
            </w:tcBorders>
            <w:shd w:val="clear" w:color="auto" w:fill="auto"/>
            <w:noWrap/>
            <w:vAlign w:val="bottom"/>
            <w:hideMark/>
          </w:tcPr>
          <w:p w:rsidR="0075086A" w:rsidRPr="0075086A" w:rsidRDefault="0075086A" w:rsidP="0075086A">
            <w:pPr>
              <w:spacing w:after="0" w:line="240" w:lineRule="auto"/>
              <w:rPr>
                <w:rFonts w:ascii="Arial" w:eastAsia="Times New Roman" w:hAnsi="Arial" w:cs="Arial"/>
                <w:sz w:val="20"/>
                <w:szCs w:val="20"/>
                <w:lang w:eastAsia="sl-SI"/>
              </w:rPr>
            </w:pPr>
            <w:r w:rsidRPr="0075086A">
              <w:rPr>
                <w:rFonts w:ascii="Arial" w:eastAsia="Times New Roman" w:hAnsi="Arial" w:cs="Arial"/>
                <w:sz w:val="20"/>
                <w:szCs w:val="20"/>
                <w:lang w:eastAsia="sl-SI"/>
              </w:rPr>
              <w:t> </w:t>
            </w:r>
          </w:p>
        </w:tc>
        <w:tc>
          <w:tcPr>
            <w:tcW w:w="1276" w:type="dxa"/>
            <w:tcBorders>
              <w:top w:val="nil"/>
              <w:left w:val="nil"/>
              <w:bottom w:val="single" w:sz="8" w:space="0" w:color="auto"/>
              <w:right w:val="single" w:sz="4" w:space="0" w:color="auto"/>
            </w:tcBorders>
            <w:shd w:val="clear" w:color="auto" w:fill="auto"/>
            <w:noWrap/>
            <w:vAlign w:val="bottom"/>
            <w:hideMark/>
          </w:tcPr>
          <w:p w:rsidR="0075086A" w:rsidRPr="00E17188" w:rsidRDefault="0075086A" w:rsidP="0075086A">
            <w:pPr>
              <w:spacing w:after="0" w:line="240" w:lineRule="auto"/>
              <w:jc w:val="right"/>
              <w:rPr>
                <w:rFonts w:ascii="Arial" w:eastAsia="Times New Roman" w:hAnsi="Arial" w:cs="Arial"/>
                <w:sz w:val="18"/>
                <w:szCs w:val="20"/>
                <w:lang w:eastAsia="sl-SI"/>
              </w:rPr>
            </w:pPr>
            <w:r w:rsidRPr="00E17188">
              <w:rPr>
                <w:rFonts w:ascii="Arial" w:eastAsia="Times New Roman" w:hAnsi="Arial" w:cs="Arial"/>
                <w:sz w:val="18"/>
                <w:szCs w:val="20"/>
                <w:lang w:eastAsia="sl-SI"/>
              </w:rPr>
              <w:t>47.012</w:t>
            </w:r>
            <w:r w:rsidR="00E17188" w:rsidRPr="00E17188">
              <w:rPr>
                <w:rFonts w:ascii="Arial" w:eastAsia="Times New Roman" w:hAnsi="Arial" w:cs="Arial"/>
                <w:sz w:val="18"/>
                <w:szCs w:val="20"/>
                <w:lang w:eastAsia="sl-SI"/>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75086A" w:rsidRPr="00E17188" w:rsidRDefault="0075086A" w:rsidP="0075086A">
            <w:pPr>
              <w:spacing w:after="0" w:line="240" w:lineRule="auto"/>
              <w:jc w:val="right"/>
              <w:rPr>
                <w:rFonts w:ascii="Arial" w:eastAsia="Times New Roman" w:hAnsi="Arial" w:cs="Arial"/>
                <w:sz w:val="18"/>
                <w:szCs w:val="20"/>
                <w:lang w:eastAsia="sl-SI"/>
              </w:rPr>
            </w:pPr>
            <w:r w:rsidRPr="00E17188">
              <w:rPr>
                <w:rFonts w:ascii="Arial" w:eastAsia="Times New Roman" w:hAnsi="Arial" w:cs="Arial"/>
                <w:sz w:val="18"/>
                <w:szCs w:val="20"/>
                <w:lang w:eastAsia="sl-SI"/>
              </w:rPr>
              <w:t>6.778.248</w:t>
            </w:r>
            <w:r w:rsidR="00E17188">
              <w:rPr>
                <w:rFonts w:ascii="Arial" w:eastAsia="Times New Roman" w:hAnsi="Arial" w:cs="Arial"/>
                <w:sz w:val="18"/>
                <w:szCs w:val="20"/>
                <w:lang w:eastAsia="sl-SI"/>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75086A" w:rsidRPr="00E17188" w:rsidRDefault="0075086A" w:rsidP="0075086A">
            <w:pPr>
              <w:spacing w:after="0" w:line="240" w:lineRule="auto"/>
              <w:jc w:val="right"/>
              <w:rPr>
                <w:rFonts w:ascii="Arial" w:eastAsia="Times New Roman" w:hAnsi="Arial" w:cs="Arial"/>
                <w:sz w:val="18"/>
                <w:szCs w:val="20"/>
                <w:lang w:eastAsia="sl-SI"/>
              </w:rPr>
            </w:pPr>
            <w:r w:rsidRPr="00E17188">
              <w:rPr>
                <w:rFonts w:ascii="Arial" w:eastAsia="Times New Roman" w:hAnsi="Arial" w:cs="Arial"/>
                <w:sz w:val="18"/>
                <w:szCs w:val="20"/>
                <w:lang w:eastAsia="sl-SI"/>
              </w:rPr>
              <w:t>1.912.166</w:t>
            </w:r>
            <w:r w:rsidR="00E17188">
              <w:rPr>
                <w:rFonts w:ascii="Arial" w:eastAsia="Times New Roman" w:hAnsi="Arial" w:cs="Arial"/>
                <w:sz w:val="18"/>
                <w:szCs w:val="20"/>
                <w:lang w:eastAsia="sl-SI"/>
              </w:rPr>
              <w:t xml:space="preserve"> €</w:t>
            </w:r>
          </w:p>
        </w:tc>
        <w:tc>
          <w:tcPr>
            <w:tcW w:w="1275" w:type="dxa"/>
            <w:tcBorders>
              <w:top w:val="nil"/>
              <w:left w:val="nil"/>
              <w:bottom w:val="single" w:sz="8" w:space="0" w:color="auto"/>
              <w:right w:val="single" w:sz="4" w:space="0" w:color="auto"/>
            </w:tcBorders>
            <w:shd w:val="clear" w:color="auto" w:fill="auto"/>
            <w:noWrap/>
            <w:vAlign w:val="bottom"/>
            <w:hideMark/>
          </w:tcPr>
          <w:p w:rsidR="0075086A" w:rsidRPr="00E17188" w:rsidRDefault="0075086A" w:rsidP="0075086A">
            <w:pPr>
              <w:spacing w:after="0" w:line="240" w:lineRule="auto"/>
              <w:jc w:val="right"/>
              <w:rPr>
                <w:rFonts w:ascii="Arial" w:eastAsia="Times New Roman" w:hAnsi="Arial" w:cs="Arial"/>
                <w:sz w:val="18"/>
                <w:szCs w:val="20"/>
                <w:lang w:eastAsia="sl-SI"/>
              </w:rPr>
            </w:pPr>
            <w:r w:rsidRPr="00E17188">
              <w:rPr>
                <w:rFonts w:ascii="Arial" w:eastAsia="Times New Roman" w:hAnsi="Arial" w:cs="Arial"/>
                <w:sz w:val="18"/>
                <w:szCs w:val="20"/>
                <w:lang w:eastAsia="sl-SI"/>
              </w:rPr>
              <w:t>3.296.681</w:t>
            </w:r>
            <w:r w:rsidR="00E17188">
              <w:rPr>
                <w:rFonts w:ascii="Arial" w:eastAsia="Times New Roman" w:hAnsi="Arial" w:cs="Arial"/>
                <w:sz w:val="18"/>
                <w:szCs w:val="20"/>
                <w:lang w:eastAsia="sl-SI"/>
              </w:rPr>
              <w:t xml:space="preserve"> €</w:t>
            </w:r>
          </w:p>
        </w:tc>
        <w:tc>
          <w:tcPr>
            <w:tcW w:w="1180" w:type="dxa"/>
            <w:tcBorders>
              <w:top w:val="nil"/>
              <w:left w:val="nil"/>
              <w:bottom w:val="single" w:sz="8" w:space="0" w:color="auto"/>
              <w:right w:val="single" w:sz="4" w:space="0" w:color="auto"/>
            </w:tcBorders>
            <w:shd w:val="clear" w:color="auto" w:fill="auto"/>
            <w:noWrap/>
            <w:vAlign w:val="bottom"/>
            <w:hideMark/>
          </w:tcPr>
          <w:p w:rsidR="0075086A" w:rsidRPr="00E17188" w:rsidRDefault="0075086A" w:rsidP="0075086A">
            <w:pPr>
              <w:spacing w:after="0" w:line="240" w:lineRule="auto"/>
              <w:jc w:val="right"/>
              <w:rPr>
                <w:rFonts w:ascii="Arial" w:eastAsia="Times New Roman" w:hAnsi="Arial" w:cs="Arial"/>
                <w:sz w:val="18"/>
                <w:szCs w:val="20"/>
                <w:lang w:eastAsia="sl-SI"/>
              </w:rPr>
            </w:pPr>
            <w:r w:rsidRPr="00E17188">
              <w:rPr>
                <w:rFonts w:ascii="Arial" w:eastAsia="Times New Roman" w:hAnsi="Arial" w:cs="Arial"/>
                <w:sz w:val="18"/>
                <w:szCs w:val="20"/>
                <w:lang w:eastAsia="sl-SI"/>
              </w:rPr>
              <w:t>2.644.084</w:t>
            </w:r>
            <w:r w:rsidR="00E17188">
              <w:rPr>
                <w:rFonts w:ascii="Arial" w:eastAsia="Times New Roman" w:hAnsi="Arial" w:cs="Arial"/>
                <w:sz w:val="18"/>
                <w:szCs w:val="20"/>
                <w:lang w:eastAsia="sl-SI"/>
              </w:rPr>
              <w:t xml:space="preserve"> €</w:t>
            </w:r>
          </w:p>
        </w:tc>
        <w:tc>
          <w:tcPr>
            <w:tcW w:w="1148" w:type="dxa"/>
            <w:tcBorders>
              <w:top w:val="nil"/>
              <w:left w:val="nil"/>
              <w:bottom w:val="single" w:sz="8" w:space="0" w:color="auto"/>
              <w:right w:val="single" w:sz="4" w:space="0" w:color="auto"/>
            </w:tcBorders>
            <w:shd w:val="clear" w:color="auto" w:fill="auto"/>
            <w:noWrap/>
            <w:vAlign w:val="bottom"/>
            <w:hideMark/>
          </w:tcPr>
          <w:p w:rsidR="0075086A" w:rsidRPr="00E17188" w:rsidRDefault="0075086A" w:rsidP="0075086A">
            <w:pPr>
              <w:spacing w:after="0" w:line="240" w:lineRule="auto"/>
              <w:jc w:val="right"/>
              <w:rPr>
                <w:rFonts w:ascii="Arial" w:eastAsia="Times New Roman" w:hAnsi="Arial" w:cs="Arial"/>
                <w:sz w:val="18"/>
                <w:szCs w:val="20"/>
                <w:lang w:eastAsia="sl-SI"/>
              </w:rPr>
            </w:pPr>
            <w:r w:rsidRPr="00E17188">
              <w:rPr>
                <w:rFonts w:ascii="Arial" w:eastAsia="Times New Roman" w:hAnsi="Arial" w:cs="Arial"/>
                <w:sz w:val="18"/>
                <w:szCs w:val="20"/>
                <w:lang w:eastAsia="sl-SI"/>
              </w:rPr>
              <w:t>3.439.713</w:t>
            </w:r>
            <w:r w:rsidR="00E17188">
              <w:rPr>
                <w:rFonts w:ascii="Arial" w:eastAsia="Times New Roman" w:hAnsi="Arial" w:cs="Arial"/>
                <w:sz w:val="18"/>
                <w:szCs w:val="20"/>
                <w:lang w:eastAsia="sl-SI"/>
              </w:rPr>
              <w:t xml:space="preserve"> €</w:t>
            </w:r>
          </w:p>
        </w:tc>
        <w:tc>
          <w:tcPr>
            <w:tcW w:w="1148" w:type="dxa"/>
            <w:tcBorders>
              <w:top w:val="nil"/>
              <w:left w:val="nil"/>
              <w:bottom w:val="single" w:sz="8" w:space="0" w:color="auto"/>
              <w:right w:val="single" w:sz="8" w:space="0" w:color="auto"/>
            </w:tcBorders>
            <w:shd w:val="clear" w:color="auto" w:fill="auto"/>
            <w:noWrap/>
            <w:vAlign w:val="bottom"/>
            <w:hideMark/>
          </w:tcPr>
          <w:p w:rsidR="0075086A" w:rsidRPr="00E17188" w:rsidRDefault="0075086A" w:rsidP="0075086A">
            <w:pPr>
              <w:spacing w:after="0" w:line="240" w:lineRule="auto"/>
              <w:jc w:val="right"/>
              <w:rPr>
                <w:rFonts w:ascii="Arial" w:eastAsia="Times New Roman" w:hAnsi="Arial" w:cs="Arial"/>
                <w:sz w:val="18"/>
                <w:szCs w:val="20"/>
                <w:lang w:eastAsia="sl-SI"/>
              </w:rPr>
            </w:pPr>
            <w:r w:rsidRPr="00E17188">
              <w:rPr>
                <w:rFonts w:ascii="Arial" w:eastAsia="Times New Roman" w:hAnsi="Arial" w:cs="Arial"/>
                <w:sz w:val="18"/>
                <w:szCs w:val="20"/>
                <w:lang w:eastAsia="sl-SI"/>
              </w:rPr>
              <w:t>779.859</w:t>
            </w:r>
            <w:r w:rsidR="00E17188">
              <w:rPr>
                <w:rFonts w:ascii="Arial" w:eastAsia="Times New Roman" w:hAnsi="Arial" w:cs="Arial"/>
                <w:sz w:val="18"/>
                <w:szCs w:val="20"/>
                <w:lang w:eastAsia="sl-SI"/>
              </w:rPr>
              <w:t xml:space="preserve"> €</w:t>
            </w:r>
          </w:p>
        </w:tc>
      </w:tr>
    </w:tbl>
    <w:p w:rsidR="0097091D" w:rsidRPr="001A67DA" w:rsidRDefault="0097091D" w:rsidP="001C3A51">
      <w:pPr>
        <w:spacing w:line="360" w:lineRule="auto"/>
        <w:jc w:val="both"/>
        <w:rPr>
          <w:rFonts w:ascii="Times New Roman" w:hAnsi="Times New Roman" w:cs="Times New Roman"/>
          <w:sz w:val="24"/>
        </w:rPr>
      </w:pPr>
      <w:r w:rsidRPr="001A67DA">
        <w:rPr>
          <w:rFonts w:ascii="Times New Roman" w:hAnsi="Times New Roman" w:cs="Times New Roman"/>
          <w:sz w:val="24"/>
        </w:rPr>
        <w:lastRenderedPageBreak/>
        <w:t>Delež čistih obratnih sredstev (v nadaljevanju ČOS) v prihodkih</w:t>
      </w:r>
      <w:r w:rsidR="00401566" w:rsidRPr="001A67DA">
        <w:rPr>
          <w:rFonts w:ascii="Times New Roman" w:hAnsi="Times New Roman" w:cs="Times New Roman"/>
          <w:sz w:val="24"/>
        </w:rPr>
        <w:t xml:space="preserve"> SAM</w:t>
      </w:r>
      <w:r w:rsidRPr="001A67DA">
        <w:rPr>
          <w:rFonts w:ascii="Times New Roman" w:hAnsi="Times New Roman" w:cs="Times New Roman"/>
          <w:sz w:val="24"/>
        </w:rPr>
        <w:t xml:space="preserve"> se</w:t>
      </w:r>
      <w:r w:rsidR="00401566" w:rsidRPr="001A67DA">
        <w:rPr>
          <w:rFonts w:ascii="Times New Roman" w:hAnsi="Times New Roman" w:cs="Times New Roman"/>
          <w:sz w:val="24"/>
        </w:rPr>
        <w:t xml:space="preserve"> je pred krizo </w:t>
      </w:r>
      <w:r w:rsidR="00142300">
        <w:rPr>
          <w:rFonts w:ascii="Times New Roman" w:hAnsi="Times New Roman" w:cs="Times New Roman"/>
          <w:sz w:val="24"/>
        </w:rPr>
        <w:t>gibal</w:t>
      </w:r>
      <w:r w:rsidRPr="001A67DA">
        <w:rPr>
          <w:rFonts w:ascii="Times New Roman" w:hAnsi="Times New Roman" w:cs="Times New Roman"/>
          <w:sz w:val="24"/>
        </w:rPr>
        <w:t xml:space="preserve"> okoli 18%. V letih 2008 in 2009 je ta procent</w:t>
      </w:r>
      <w:r w:rsidR="00401566" w:rsidRPr="001A67DA">
        <w:rPr>
          <w:rFonts w:ascii="Times New Roman" w:hAnsi="Times New Roman" w:cs="Times New Roman"/>
          <w:sz w:val="24"/>
        </w:rPr>
        <w:t xml:space="preserve"> izjemoma</w:t>
      </w:r>
      <w:r w:rsidRPr="001A67DA">
        <w:rPr>
          <w:rFonts w:ascii="Times New Roman" w:hAnsi="Times New Roman" w:cs="Times New Roman"/>
          <w:sz w:val="24"/>
        </w:rPr>
        <w:t xml:space="preserve"> narastel na približno 21,5%. V letu 2008 sta bila razloga za</w:t>
      </w:r>
      <w:r w:rsidR="00BE3A50" w:rsidRPr="001A67DA">
        <w:rPr>
          <w:rFonts w:ascii="Times New Roman" w:hAnsi="Times New Roman" w:cs="Times New Roman"/>
          <w:sz w:val="24"/>
        </w:rPr>
        <w:t xml:space="preserve"> </w:t>
      </w:r>
      <w:r w:rsidRPr="001A67DA">
        <w:rPr>
          <w:rFonts w:ascii="Times New Roman" w:hAnsi="Times New Roman" w:cs="Times New Roman"/>
          <w:sz w:val="24"/>
        </w:rPr>
        <w:t xml:space="preserve">to predvsem rahlo zmanjšanje prihodkov in zmanjšanje poslovnih obveznosti, ki so občutneje povečale čista obratna sredstva. </w:t>
      </w:r>
      <w:r w:rsidR="00982AEE" w:rsidRPr="001A67DA">
        <w:rPr>
          <w:rFonts w:ascii="Times New Roman" w:hAnsi="Times New Roman" w:cs="Times New Roman"/>
          <w:sz w:val="24"/>
        </w:rPr>
        <w:t>V letu</w:t>
      </w:r>
      <w:r w:rsidRPr="001A67DA">
        <w:rPr>
          <w:rFonts w:ascii="Times New Roman" w:hAnsi="Times New Roman" w:cs="Times New Roman"/>
          <w:sz w:val="24"/>
        </w:rPr>
        <w:t xml:space="preserve"> 2009 pa visokemu procentu lahko pripišemo predvsem velik padec prihodkov, hkrati pa tudi zmanjšanje čistih obratnih sredstev predvsem na račun zalog (odprodaja zalog). Naslednje leto je ta delež prešel na normalno stopnjo</w:t>
      </w:r>
      <w:r w:rsidR="00982AEE" w:rsidRPr="001A67DA">
        <w:rPr>
          <w:rFonts w:ascii="Times New Roman" w:hAnsi="Times New Roman" w:cs="Times New Roman"/>
          <w:sz w:val="24"/>
        </w:rPr>
        <w:t xml:space="preserve"> okoli 18%</w:t>
      </w:r>
      <w:r w:rsidRPr="001A67DA">
        <w:rPr>
          <w:rFonts w:ascii="Times New Roman" w:hAnsi="Times New Roman" w:cs="Times New Roman"/>
          <w:sz w:val="24"/>
        </w:rPr>
        <w:t xml:space="preserve">, v največji meri zaradi povečanja prihodkov, medtem ko so ČOS ostala na približno enaki ravni kot leto poprej. V prihodnje predvidevamo, da bodo ČOS začela slediti povečanju prihodkov in se bodo povečala predvsem na račun </w:t>
      </w:r>
      <w:r w:rsidR="007A7E64" w:rsidRPr="001A67DA">
        <w:rPr>
          <w:rFonts w:ascii="Times New Roman" w:hAnsi="Times New Roman" w:cs="Times New Roman"/>
          <w:sz w:val="24"/>
        </w:rPr>
        <w:t>povečanja terjatev in tudi zalog. Delež ČOS se bo po našem mnenju g</w:t>
      </w:r>
      <w:r w:rsidR="00BF69FC" w:rsidRPr="001A67DA">
        <w:rPr>
          <w:rFonts w:ascii="Times New Roman" w:hAnsi="Times New Roman" w:cs="Times New Roman"/>
          <w:sz w:val="24"/>
        </w:rPr>
        <w:t>ibal</w:t>
      </w:r>
      <w:r w:rsidR="007A7E64" w:rsidRPr="001A67DA">
        <w:rPr>
          <w:rFonts w:ascii="Times New Roman" w:hAnsi="Times New Roman" w:cs="Times New Roman"/>
          <w:sz w:val="24"/>
        </w:rPr>
        <w:t xml:space="preserve"> okol</w:t>
      </w:r>
      <w:r w:rsidR="00BF69FC" w:rsidRPr="001A67DA">
        <w:rPr>
          <w:rFonts w:ascii="Times New Roman" w:hAnsi="Times New Roman" w:cs="Times New Roman"/>
          <w:sz w:val="24"/>
        </w:rPr>
        <w:t>i</w:t>
      </w:r>
      <w:r w:rsidR="007A7E64" w:rsidRPr="001A67DA">
        <w:rPr>
          <w:rFonts w:ascii="Times New Roman" w:hAnsi="Times New Roman" w:cs="Times New Roman"/>
          <w:sz w:val="24"/>
        </w:rPr>
        <w:t xml:space="preserve"> 18%, in bo počasi rahlo padal, tako kot je bilo to pred krizo.</w:t>
      </w:r>
    </w:p>
    <w:p w:rsidR="00254958" w:rsidRDefault="00254958" w:rsidP="00AD6EDE">
      <w:pPr>
        <w:pStyle w:val="Heading3"/>
        <w:numPr>
          <w:ilvl w:val="2"/>
          <w:numId w:val="4"/>
        </w:numPr>
        <w:spacing w:before="0" w:after="120"/>
        <w:rPr>
          <w:sz w:val="24"/>
        </w:rPr>
      </w:pPr>
      <w:bookmarkStart w:id="10" w:name="_Toc327382749"/>
      <w:r w:rsidRPr="0088140C">
        <w:rPr>
          <w:sz w:val="24"/>
        </w:rPr>
        <w:t>Dobiček</w:t>
      </w:r>
      <w:bookmarkEnd w:id="10"/>
    </w:p>
    <w:tbl>
      <w:tblPr>
        <w:tblpPr w:leftFromText="141" w:rightFromText="141" w:vertAnchor="text" w:horzAnchor="margin" w:tblpXSpec="center" w:tblpY="437"/>
        <w:tblW w:w="6135" w:type="pct"/>
        <w:tblCellMar>
          <w:left w:w="70" w:type="dxa"/>
          <w:right w:w="70" w:type="dxa"/>
        </w:tblCellMar>
        <w:tblLook w:val="04A0" w:firstRow="1" w:lastRow="0" w:firstColumn="1" w:lastColumn="0" w:noHBand="0" w:noVBand="1"/>
      </w:tblPr>
      <w:tblGrid>
        <w:gridCol w:w="2792"/>
        <w:gridCol w:w="986"/>
        <w:gridCol w:w="1075"/>
        <w:gridCol w:w="1075"/>
        <w:gridCol w:w="1075"/>
        <w:gridCol w:w="1075"/>
        <w:gridCol w:w="1075"/>
        <w:gridCol w:w="1075"/>
        <w:gridCol w:w="1075"/>
      </w:tblGrid>
      <w:tr w:rsidR="00C36100" w:rsidRPr="009F4184" w:rsidTr="00C36100">
        <w:trPr>
          <w:trHeight w:val="410"/>
        </w:trPr>
        <w:tc>
          <w:tcPr>
            <w:tcW w:w="1235" w:type="pct"/>
            <w:tcBorders>
              <w:bottom w:val="single" w:sz="8" w:space="0" w:color="auto"/>
              <w:right w:val="single" w:sz="8" w:space="0" w:color="auto"/>
            </w:tcBorders>
            <w:shd w:val="clear" w:color="auto" w:fill="auto"/>
            <w:noWrap/>
            <w:vAlign w:val="bottom"/>
            <w:hideMark/>
          </w:tcPr>
          <w:p w:rsidR="00C36100" w:rsidRPr="00254958" w:rsidRDefault="00C36100" w:rsidP="00C36100">
            <w:pPr>
              <w:spacing w:after="0" w:line="240" w:lineRule="auto"/>
              <w:rPr>
                <w:rFonts w:ascii="Arial" w:eastAsia="Times New Roman" w:hAnsi="Arial" w:cs="Arial"/>
                <w:sz w:val="20"/>
                <w:szCs w:val="20"/>
                <w:lang w:eastAsia="sl-SI"/>
              </w:rPr>
            </w:pPr>
            <w:r w:rsidRPr="00254958">
              <w:rPr>
                <w:rFonts w:ascii="Arial" w:eastAsia="Times New Roman" w:hAnsi="Arial" w:cs="Arial"/>
                <w:sz w:val="20"/>
                <w:szCs w:val="20"/>
                <w:lang w:eastAsia="sl-SI"/>
              </w:rPr>
              <w:t> </w:t>
            </w:r>
          </w:p>
        </w:tc>
        <w:tc>
          <w:tcPr>
            <w:tcW w:w="436" w:type="pct"/>
            <w:tcBorders>
              <w:top w:val="single" w:sz="4" w:space="0" w:color="auto"/>
              <w:left w:val="single" w:sz="8" w:space="0" w:color="auto"/>
              <w:bottom w:val="single" w:sz="4" w:space="0" w:color="auto"/>
              <w:right w:val="single" w:sz="4" w:space="0" w:color="auto"/>
            </w:tcBorders>
            <w:shd w:val="clear" w:color="auto" w:fill="E5B8B7" w:themeFill="accent2" w:themeFillTint="66"/>
            <w:noWrap/>
            <w:vAlign w:val="bottom"/>
            <w:hideMark/>
          </w:tcPr>
          <w:p w:rsidR="00C36100" w:rsidRPr="0050366E" w:rsidRDefault="00C36100" w:rsidP="00C36100">
            <w:pPr>
              <w:spacing w:after="0" w:line="240" w:lineRule="auto"/>
              <w:jc w:val="right"/>
              <w:rPr>
                <w:rFonts w:ascii="Arial" w:eastAsia="Times New Roman" w:hAnsi="Arial" w:cs="Arial"/>
                <w:bCs/>
                <w:sz w:val="18"/>
                <w:szCs w:val="20"/>
                <w:lang w:eastAsia="sl-SI"/>
              </w:rPr>
            </w:pPr>
            <w:r w:rsidRPr="0050366E">
              <w:rPr>
                <w:rFonts w:ascii="Arial" w:eastAsia="Times New Roman" w:hAnsi="Arial" w:cs="Arial"/>
                <w:bCs/>
                <w:sz w:val="18"/>
                <w:szCs w:val="20"/>
                <w:lang w:eastAsia="sl-SI"/>
              </w:rPr>
              <w:t>2009</w:t>
            </w:r>
          </w:p>
        </w:tc>
        <w:tc>
          <w:tcPr>
            <w:tcW w:w="476" w:type="pct"/>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C36100" w:rsidRPr="0050366E" w:rsidRDefault="00C36100" w:rsidP="00C36100">
            <w:pPr>
              <w:spacing w:after="0" w:line="240" w:lineRule="auto"/>
              <w:jc w:val="right"/>
              <w:rPr>
                <w:rFonts w:ascii="Arial" w:eastAsia="Times New Roman" w:hAnsi="Arial" w:cs="Arial"/>
                <w:bCs/>
                <w:sz w:val="18"/>
                <w:szCs w:val="20"/>
                <w:lang w:eastAsia="sl-SI"/>
              </w:rPr>
            </w:pPr>
            <w:r w:rsidRPr="0050366E">
              <w:rPr>
                <w:rFonts w:ascii="Arial" w:eastAsia="Times New Roman" w:hAnsi="Arial" w:cs="Arial"/>
                <w:bCs/>
                <w:sz w:val="18"/>
                <w:szCs w:val="20"/>
                <w:lang w:eastAsia="sl-SI"/>
              </w:rPr>
              <w:t>2010</w:t>
            </w:r>
          </w:p>
        </w:tc>
        <w:tc>
          <w:tcPr>
            <w:tcW w:w="476" w:type="pct"/>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C36100" w:rsidRPr="0050366E" w:rsidRDefault="00C36100" w:rsidP="00C36100">
            <w:pPr>
              <w:spacing w:after="0" w:line="240" w:lineRule="auto"/>
              <w:jc w:val="right"/>
              <w:rPr>
                <w:rFonts w:ascii="Arial" w:eastAsia="Times New Roman" w:hAnsi="Arial" w:cs="Arial"/>
                <w:bCs/>
                <w:sz w:val="18"/>
                <w:szCs w:val="20"/>
                <w:lang w:eastAsia="sl-SI"/>
              </w:rPr>
            </w:pPr>
            <w:r w:rsidRPr="0050366E">
              <w:rPr>
                <w:rFonts w:ascii="Arial" w:eastAsia="Times New Roman" w:hAnsi="Arial" w:cs="Arial"/>
                <w:bCs/>
                <w:sz w:val="18"/>
                <w:szCs w:val="20"/>
                <w:lang w:eastAsia="sl-SI"/>
              </w:rPr>
              <w:t>2011</w:t>
            </w:r>
          </w:p>
        </w:tc>
        <w:tc>
          <w:tcPr>
            <w:tcW w:w="476" w:type="pct"/>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C36100" w:rsidRPr="0050366E" w:rsidRDefault="00C36100" w:rsidP="00C36100">
            <w:pPr>
              <w:spacing w:after="0" w:line="240" w:lineRule="auto"/>
              <w:jc w:val="right"/>
              <w:rPr>
                <w:rFonts w:ascii="Arial" w:eastAsia="Times New Roman" w:hAnsi="Arial" w:cs="Arial"/>
                <w:bCs/>
                <w:sz w:val="18"/>
                <w:szCs w:val="20"/>
                <w:lang w:eastAsia="sl-SI"/>
              </w:rPr>
            </w:pPr>
            <w:r w:rsidRPr="0050366E">
              <w:rPr>
                <w:rFonts w:ascii="Arial" w:eastAsia="Times New Roman" w:hAnsi="Arial" w:cs="Arial"/>
                <w:bCs/>
                <w:sz w:val="18"/>
                <w:szCs w:val="20"/>
                <w:lang w:eastAsia="sl-SI"/>
              </w:rPr>
              <w:t>2012</w:t>
            </w:r>
          </w:p>
        </w:tc>
        <w:tc>
          <w:tcPr>
            <w:tcW w:w="476" w:type="pct"/>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C36100" w:rsidRPr="0050366E" w:rsidRDefault="00C36100" w:rsidP="00C36100">
            <w:pPr>
              <w:spacing w:after="0" w:line="240" w:lineRule="auto"/>
              <w:jc w:val="right"/>
              <w:rPr>
                <w:rFonts w:ascii="Arial" w:eastAsia="Times New Roman" w:hAnsi="Arial" w:cs="Arial"/>
                <w:bCs/>
                <w:sz w:val="18"/>
                <w:szCs w:val="20"/>
                <w:lang w:eastAsia="sl-SI"/>
              </w:rPr>
            </w:pPr>
            <w:r w:rsidRPr="0050366E">
              <w:rPr>
                <w:rFonts w:ascii="Arial" w:eastAsia="Times New Roman" w:hAnsi="Arial" w:cs="Arial"/>
                <w:bCs/>
                <w:sz w:val="18"/>
                <w:szCs w:val="20"/>
                <w:lang w:eastAsia="sl-SI"/>
              </w:rPr>
              <w:t>2013</w:t>
            </w:r>
          </w:p>
        </w:tc>
        <w:tc>
          <w:tcPr>
            <w:tcW w:w="476" w:type="pct"/>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C36100" w:rsidRPr="0050366E" w:rsidRDefault="00C36100" w:rsidP="00C36100">
            <w:pPr>
              <w:spacing w:after="0" w:line="240" w:lineRule="auto"/>
              <w:jc w:val="right"/>
              <w:rPr>
                <w:rFonts w:ascii="Arial" w:eastAsia="Times New Roman" w:hAnsi="Arial" w:cs="Arial"/>
                <w:bCs/>
                <w:sz w:val="18"/>
                <w:szCs w:val="20"/>
                <w:lang w:eastAsia="sl-SI"/>
              </w:rPr>
            </w:pPr>
            <w:r w:rsidRPr="0050366E">
              <w:rPr>
                <w:rFonts w:ascii="Arial" w:eastAsia="Times New Roman" w:hAnsi="Arial" w:cs="Arial"/>
                <w:bCs/>
                <w:sz w:val="18"/>
                <w:szCs w:val="20"/>
                <w:lang w:eastAsia="sl-SI"/>
              </w:rPr>
              <w:t>2014</w:t>
            </w:r>
          </w:p>
        </w:tc>
        <w:tc>
          <w:tcPr>
            <w:tcW w:w="476" w:type="pct"/>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C36100" w:rsidRPr="0050366E" w:rsidRDefault="00C36100" w:rsidP="00C36100">
            <w:pPr>
              <w:spacing w:after="0" w:line="240" w:lineRule="auto"/>
              <w:jc w:val="right"/>
              <w:rPr>
                <w:rFonts w:ascii="Arial" w:eastAsia="Times New Roman" w:hAnsi="Arial" w:cs="Arial"/>
                <w:bCs/>
                <w:sz w:val="18"/>
                <w:szCs w:val="20"/>
                <w:lang w:eastAsia="sl-SI"/>
              </w:rPr>
            </w:pPr>
            <w:r w:rsidRPr="0050366E">
              <w:rPr>
                <w:rFonts w:ascii="Arial" w:eastAsia="Times New Roman" w:hAnsi="Arial" w:cs="Arial"/>
                <w:bCs/>
                <w:sz w:val="18"/>
                <w:szCs w:val="20"/>
                <w:lang w:eastAsia="sl-SI"/>
              </w:rPr>
              <w:t>2015</w:t>
            </w:r>
          </w:p>
        </w:tc>
        <w:tc>
          <w:tcPr>
            <w:tcW w:w="476" w:type="pct"/>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C36100" w:rsidRPr="0050366E" w:rsidRDefault="00C36100" w:rsidP="00C36100">
            <w:pPr>
              <w:spacing w:after="0" w:line="240" w:lineRule="auto"/>
              <w:jc w:val="right"/>
              <w:rPr>
                <w:rFonts w:ascii="Arial" w:eastAsia="Times New Roman" w:hAnsi="Arial" w:cs="Arial"/>
                <w:bCs/>
                <w:sz w:val="18"/>
                <w:szCs w:val="20"/>
                <w:lang w:eastAsia="sl-SI"/>
              </w:rPr>
            </w:pPr>
            <w:r w:rsidRPr="0050366E">
              <w:rPr>
                <w:rFonts w:ascii="Arial" w:eastAsia="Times New Roman" w:hAnsi="Arial" w:cs="Arial"/>
                <w:bCs/>
                <w:sz w:val="18"/>
                <w:szCs w:val="20"/>
                <w:lang w:eastAsia="sl-SI"/>
              </w:rPr>
              <w:t>2016</w:t>
            </w:r>
          </w:p>
        </w:tc>
      </w:tr>
      <w:tr w:rsidR="00C36100" w:rsidRPr="009F4184" w:rsidTr="00C36100">
        <w:trPr>
          <w:trHeight w:val="410"/>
        </w:trPr>
        <w:tc>
          <w:tcPr>
            <w:tcW w:w="1235"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vAlign w:val="bottom"/>
            <w:hideMark/>
          </w:tcPr>
          <w:p w:rsidR="00C36100" w:rsidRPr="009F4184" w:rsidRDefault="00C36100" w:rsidP="00C36100">
            <w:pPr>
              <w:spacing w:after="0" w:line="240" w:lineRule="auto"/>
              <w:rPr>
                <w:rFonts w:ascii="Arial" w:eastAsia="Times New Roman" w:hAnsi="Arial" w:cs="Arial"/>
                <w:sz w:val="18"/>
                <w:szCs w:val="20"/>
                <w:lang w:eastAsia="sl-SI"/>
              </w:rPr>
            </w:pPr>
            <w:r w:rsidRPr="009F4184">
              <w:rPr>
                <w:rFonts w:ascii="Arial" w:eastAsia="Times New Roman" w:hAnsi="Arial" w:cs="Arial"/>
                <w:sz w:val="18"/>
                <w:szCs w:val="20"/>
                <w:lang w:eastAsia="sl-SI"/>
              </w:rPr>
              <w:t>Dobiček iz poslovanja</w:t>
            </w:r>
          </w:p>
        </w:tc>
        <w:tc>
          <w:tcPr>
            <w:tcW w:w="436" w:type="pct"/>
            <w:tcBorders>
              <w:top w:val="nil"/>
              <w:left w:val="single" w:sz="8" w:space="0" w:color="auto"/>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7.560.694</w:t>
            </w:r>
            <w:r>
              <w:rPr>
                <w:rFonts w:ascii="Arial" w:eastAsia="Times New Roman" w:hAnsi="Arial" w:cs="Arial"/>
                <w:sz w:val="16"/>
                <w:szCs w:val="20"/>
                <w:lang w:eastAsia="sl-SI"/>
              </w:rPr>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10.059.307</w:t>
            </w:r>
            <w:r>
              <w:rPr>
                <w:rFonts w:ascii="Arial" w:eastAsia="Times New Roman" w:hAnsi="Arial" w:cs="Arial"/>
                <w:sz w:val="16"/>
                <w:szCs w:val="20"/>
                <w:lang w:eastAsia="sl-SI"/>
              </w:rPr>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12.071.168</w:t>
            </w:r>
            <w:r>
              <w:rPr>
                <w:rFonts w:ascii="Arial" w:eastAsia="Times New Roman" w:hAnsi="Arial" w:cs="Arial"/>
                <w:sz w:val="16"/>
                <w:szCs w:val="20"/>
                <w:lang w:eastAsia="sl-SI"/>
              </w:rPr>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12.916.150</w:t>
            </w:r>
            <w:r>
              <w:rPr>
                <w:rFonts w:ascii="Arial" w:eastAsia="Times New Roman" w:hAnsi="Arial" w:cs="Arial"/>
                <w:sz w:val="16"/>
                <w:szCs w:val="20"/>
                <w:lang w:eastAsia="sl-SI"/>
              </w:rPr>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14.078.604</w:t>
            </w:r>
            <w:r>
              <w:rPr>
                <w:rFonts w:ascii="Arial" w:eastAsia="Times New Roman" w:hAnsi="Arial" w:cs="Arial"/>
                <w:sz w:val="16"/>
                <w:szCs w:val="20"/>
                <w:lang w:eastAsia="sl-SI"/>
              </w:rPr>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14.923.320</w:t>
            </w:r>
            <w:r>
              <w:rPr>
                <w:rFonts w:ascii="Arial" w:eastAsia="Times New Roman" w:hAnsi="Arial" w:cs="Arial"/>
                <w:sz w:val="16"/>
                <w:szCs w:val="20"/>
                <w:lang w:eastAsia="sl-SI"/>
              </w:rPr>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15.867.267</w:t>
            </w:r>
            <w:r>
              <w:rPr>
                <w:rFonts w:ascii="Arial" w:eastAsia="Times New Roman" w:hAnsi="Arial" w:cs="Arial"/>
                <w:sz w:val="16"/>
                <w:szCs w:val="20"/>
                <w:lang w:eastAsia="sl-SI"/>
              </w:rPr>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16.343.285</w:t>
            </w:r>
            <w:r>
              <w:rPr>
                <w:rFonts w:ascii="Arial" w:eastAsia="Times New Roman" w:hAnsi="Arial" w:cs="Arial"/>
                <w:sz w:val="16"/>
                <w:szCs w:val="20"/>
                <w:lang w:eastAsia="sl-SI"/>
              </w:rPr>
              <w:t xml:space="preserve"> €</w:t>
            </w:r>
          </w:p>
        </w:tc>
      </w:tr>
      <w:tr w:rsidR="00C36100" w:rsidRPr="009F4184" w:rsidTr="00C36100">
        <w:trPr>
          <w:trHeight w:val="410"/>
        </w:trPr>
        <w:tc>
          <w:tcPr>
            <w:tcW w:w="1235"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vAlign w:val="bottom"/>
            <w:hideMark/>
          </w:tcPr>
          <w:p w:rsidR="00C36100" w:rsidRPr="009F4184" w:rsidRDefault="00C36100" w:rsidP="00C36100">
            <w:pPr>
              <w:spacing w:after="0" w:line="240" w:lineRule="auto"/>
              <w:rPr>
                <w:rFonts w:ascii="Arial" w:eastAsia="Times New Roman" w:hAnsi="Arial" w:cs="Arial"/>
                <w:sz w:val="18"/>
                <w:szCs w:val="20"/>
                <w:lang w:eastAsia="sl-SI"/>
              </w:rPr>
            </w:pPr>
            <w:r w:rsidRPr="009F4184">
              <w:rPr>
                <w:rFonts w:ascii="Arial" w:eastAsia="Times New Roman" w:hAnsi="Arial" w:cs="Arial"/>
                <w:sz w:val="18"/>
                <w:szCs w:val="20"/>
                <w:lang w:eastAsia="sl-SI"/>
              </w:rPr>
              <w:t>Dob. Iz posl. /Prihodki od prodaje</w:t>
            </w:r>
          </w:p>
        </w:tc>
        <w:tc>
          <w:tcPr>
            <w:tcW w:w="436" w:type="pct"/>
            <w:tcBorders>
              <w:top w:val="nil"/>
              <w:left w:val="single" w:sz="8" w:space="0" w:color="auto"/>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3,8%</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4,3%</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4,5%</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4,6%</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4,7%</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4,7%</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4,7%</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4,7%</w:t>
            </w:r>
          </w:p>
        </w:tc>
      </w:tr>
      <w:tr w:rsidR="00C36100" w:rsidRPr="009F4184" w:rsidTr="00C36100">
        <w:trPr>
          <w:trHeight w:val="410"/>
        </w:trPr>
        <w:tc>
          <w:tcPr>
            <w:tcW w:w="1235" w:type="pct"/>
            <w:tcBorders>
              <w:top w:val="single" w:sz="8"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C36100" w:rsidRPr="009F4184" w:rsidRDefault="00C36100" w:rsidP="00C36100">
            <w:pPr>
              <w:spacing w:after="0" w:line="240" w:lineRule="auto"/>
              <w:rPr>
                <w:rFonts w:ascii="Arial" w:eastAsia="Times New Roman" w:hAnsi="Arial" w:cs="Arial"/>
                <w:sz w:val="18"/>
                <w:szCs w:val="20"/>
                <w:lang w:eastAsia="sl-SI"/>
              </w:rPr>
            </w:pPr>
            <w:r w:rsidRPr="009F4184">
              <w:rPr>
                <w:rFonts w:ascii="Arial" w:eastAsia="Times New Roman" w:hAnsi="Arial" w:cs="Arial"/>
                <w:sz w:val="18"/>
                <w:szCs w:val="20"/>
                <w:lang w:eastAsia="sl-SI"/>
              </w:rPr>
              <w:t>EBIT (1-t)</w:t>
            </w:r>
          </w:p>
        </w:tc>
        <w:tc>
          <w:tcPr>
            <w:tcW w:w="43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6.048.555</w:t>
            </w:r>
            <w:r>
              <w:rPr>
                <w:rFonts w:ascii="Arial" w:eastAsia="Times New Roman" w:hAnsi="Arial" w:cs="Arial"/>
                <w:sz w:val="16"/>
                <w:szCs w:val="20"/>
                <w:lang w:eastAsia="sl-SI"/>
              </w:rPr>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8.047.446</w:t>
            </w:r>
            <w:r>
              <w:rPr>
                <w:rFonts w:ascii="Arial" w:eastAsia="Times New Roman" w:hAnsi="Arial" w:cs="Arial"/>
                <w:sz w:val="16"/>
                <w:szCs w:val="20"/>
                <w:lang w:eastAsia="sl-SI"/>
              </w:rPr>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9.656.935</w:t>
            </w:r>
            <w:r>
              <w:rPr>
                <w:rFonts w:ascii="Arial" w:eastAsia="Times New Roman" w:hAnsi="Arial" w:cs="Arial"/>
                <w:sz w:val="16"/>
                <w:szCs w:val="20"/>
                <w:lang w:eastAsia="sl-SI"/>
              </w:rPr>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10.332.920</w:t>
            </w:r>
            <w:r>
              <w:rPr>
                <w:rFonts w:ascii="Arial" w:eastAsia="Times New Roman" w:hAnsi="Arial" w:cs="Arial"/>
                <w:sz w:val="16"/>
                <w:szCs w:val="20"/>
                <w:lang w:eastAsia="sl-SI"/>
              </w:rPr>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11.262.883</w:t>
            </w:r>
            <w:r>
              <w:rPr>
                <w:rFonts w:ascii="Arial" w:eastAsia="Times New Roman" w:hAnsi="Arial" w:cs="Arial"/>
                <w:sz w:val="16"/>
                <w:szCs w:val="20"/>
                <w:lang w:eastAsia="sl-SI"/>
              </w:rPr>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11.938.656</w:t>
            </w:r>
            <w:r>
              <w:rPr>
                <w:rFonts w:ascii="Arial" w:eastAsia="Times New Roman" w:hAnsi="Arial" w:cs="Arial"/>
                <w:sz w:val="16"/>
                <w:szCs w:val="20"/>
                <w:lang w:eastAsia="sl-SI"/>
              </w:rPr>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12.693.814</w:t>
            </w:r>
            <w:r>
              <w:rPr>
                <w:rFonts w:ascii="Arial" w:eastAsia="Times New Roman" w:hAnsi="Arial" w:cs="Arial"/>
                <w:sz w:val="16"/>
                <w:szCs w:val="20"/>
                <w:lang w:eastAsia="sl-SI"/>
              </w:rPr>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rsidR="00C36100" w:rsidRPr="009F4184" w:rsidRDefault="00C36100" w:rsidP="00C36100">
            <w:pPr>
              <w:spacing w:after="0" w:line="240" w:lineRule="auto"/>
              <w:jc w:val="right"/>
              <w:rPr>
                <w:rFonts w:ascii="Arial" w:eastAsia="Times New Roman" w:hAnsi="Arial" w:cs="Arial"/>
                <w:sz w:val="16"/>
                <w:szCs w:val="20"/>
                <w:lang w:eastAsia="sl-SI"/>
              </w:rPr>
            </w:pPr>
            <w:r w:rsidRPr="009F4184">
              <w:rPr>
                <w:rFonts w:ascii="Arial" w:eastAsia="Times New Roman" w:hAnsi="Arial" w:cs="Arial"/>
                <w:sz w:val="16"/>
                <w:szCs w:val="20"/>
                <w:lang w:eastAsia="sl-SI"/>
              </w:rPr>
              <w:t>13.074.628</w:t>
            </w:r>
            <w:r>
              <w:rPr>
                <w:rFonts w:ascii="Arial" w:eastAsia="Times New Roman" w:hAnsi="Arial" w:cs="Arial"/>
                <w:sz w:val="16"/>
                <w:szCs w:val="20"/>
                <w:lang w:eastAsia="sl-SI"/>
              </w:rPr>
              <w:t xml:space="preserve"> €</w:t>
            </w:r>
          </w:p>
        </w:tc>
      </w:tr>
    </w:tbl>
    <w:p w:rsidR="00C36100" w:rsidRPr="00C36100" w:rsidRDefault="00C36100" w:rsidP="00C36100">
      <w:pPr>
        <w:pStyle w:val="Caption"/>
        <w:spacing w:after="120"/>
        <w:rPr>
          <w:b w:val="0"/>
          <w:color w:val="auto"/>
          <w:sz w:val="20"/>
        </w:rPr>
      </w:pPr>
      <w:bookmarkStart w:id="11" w:name="_Toc327382766"/>
      <w:r w:rsidRPr="00C36100">
        <w:rPr>
          <w:b w:val="0"/>
          <w:color w:val="auto"/>
          <w:sz w:val="20"/>
        </w:rPr>
        <w:t xml:space="preserve">Tabela </w:t>
      </w:r>
      <w:r w:rsidR="005A3C60" w:rsidRPr="00C36100">
        <w:rPr>
          <w:b w:val="0"/>
          <w:color w:val="auto"/>
          <w:sz w:val="20"/>
        </w:rPr>
        <w:fldChar w:fldCharType="begin"/>
      </w:r>
      <w:r w:rsidRPr="00C36100">
        <w:rPr>
          <w:b w:val="0"/>
          <w:color w:val="auto"/>
          <w:sz w:val="20"/>
        </w:rPr>
        <w:instrText xml:space="preserve"> SEQ Tabela \* ARABIC </w:instrText>
      </w:r>
      <w:r w:rsidR="005A3C60" w:rsidRPr="00C36100">
        <w:rPr>
          <w:b w:val="0"/>
          <w:color w:val="auto"/>
          <w:sz w:val="20"/>
        </w:rPr>
        <w:fldChar w:fldCharType="separate"/>
      </w:r>
      <w:r w:rsidR="00664B27">
        <w:rPr>
          <w:b w:val="0"/>
          <w:noProof/>
          <w:color w:val="auto"/>
          <w:sz w:val="20"/>
        </w:rPr>
        <w:t>4</w:t>
      </w:r>
      <w:r w:rsidR="005A3C60" w:rsidRPr="00C36100">
        <w:rPr>
          <w:b w:val="0"/>
          <w:color w:val="auto"/>
          <w:sz w:val="20"/>
        </w:rPr>
        <w:fldChar w:fldCharType="end"/>
      </w:r>
      <w:r w:rsidRPr="00C36100">
        <w:rPr>
          <w:b w:val="0"/>
          <w:color w:val="auto"/>
          <w:sz w:val="20"/>
        </w:rPr>
        <w:t>: Gibanje in napoved dobička</w:t>
      </w:r>
      <w:bookmarkEnd w:id="11"/>
    </w:p>
    <w:p w:rsidR="002F79F0" w:rsidRDefault="002F79F0" w:rsidP="00D51015">
      <w:pPr>
        <w:jc w:val="both"/>
      </w:pPr>
    </w:p>
    <w:p w:rsidR="0059735F" w:rsidRPr="001A67DA" w:rsidRDefault="007B17AC" w:rsidP="002F04D4">
      <w:pPr>
        <w:spacing w:line="360" w:lineRule="auto"/>
        <w:jc w:val="both"/>
        <w:rPr>
          <w:rFonts w:ascii="Times New Roman" w:hAnsi="Times New Roman" w:cs="Times New Roman"/>
          <w:sz w:val="24"/>
        </w:rPr>
      </w:pPr>
      <w:r w:rsidRPr="001A67DA">
        <w:rPr>
          <w:rFonts w:ascii="Times New Roman" w:hAnsi="Times New Roman" w:cs="Times New Roman"/>
          <w:sz w:val="24"/>
        </w:rPr>
        <w:t>Do</w:t>
      </w:r>
      <w:r w:rsidR="002F04D4" w:rsidRPr="001A67DA">
        <w:rPr>
          <w:rFonts w:ascii="Times New Roman" w:hAnsi="Times New Roman" w:cs="Times New Roman"/>
          <w:sz w:val="24"/>
        </w:rPr>
        <w:t>biček iz poslovanja smo predvideli na podlagi rasti prihodkov in preteklih deležev dobička iz poslovanja v prihodkih od prodaje. V času krize se je ta delež razumno nekoliko zmanjšal, kar je razvidno tudi iz podatkov za leti 2009 in 2010. V prihodnje po počasnem okrevanju in večanju prihodkov predvidevamo tudi postopno večanje stopnje dobička v prihodkih na približno 4,7%, ki je bil bolj značilen za čas pred krizo. Poleg tega smo sledili tudi napovedim, oziro</w:t>
      </w:r>
      <w:r w:rsidR="002B2986" w:rsidRPr="001A67DA">
        <w:rPr>
          <w:rFonts w:ascii="Times New Roman" w:hAnsi="Times New Roman" w:cs="Times New Roman"/>
          <w:sz w:val="24"/>
        </w:rPr>
        <w:t>ma načrtom podjetja, da se v le</w:t>
      </w:r>
      <w:r w:rsidR="002F04D4" w:rsidRPr="001A67DA">
        <w:rPr>
          <w:rFonts w:ascii="Times New Roman" w:hAnsi="Times New Roman" w:cs="Times New Roman"/>
          <w:sz w:val="24"/>
        </w:rPr>
        <w:t>t</w:t>
      </w:r>
      <w:r w:rsidR="002B2986" w:rsidRPr="001A67DA">
        <w:rPr>
          <w:rFonts w:ascii="Times New Roman" w:hAnsi="Times New Roman" w:cs="Times New Roman"/>
          <w:sz w:val="24"/>
        </w:rPr>
        <w:t>u</w:t>
      </w:r>
      <w:r w:rsidR="002F04D4" w:rsidRPr="001A67DA">
        <w:rPr>
          <w:rFonts w:ascii="Times New Roman" w:hAnsi="Times New Roman" w:cs="Times New Roman"/>
          <w:sz w:val="24"/>
        </w:rPr>
        <w:t xml:space="preserve"> 2014 vrnejo na raven, ki so jo dosegali v letu pred krizo, torej v letu 2007.</w:t>
      </w:r>
      <w:r w:rsidR="002B2986" w:rsidRPr="001A67DA">
        <w:rPr>
          <w:rFonts w:ascii="Times New Roman" w:hAnsi="Times New Roman" w:cs="Times New Roman"/>
          <w:sz w:val="24"/>
        </w:rPr>
        <w:t xml:space="preserve"> Gibanje dobička smo poskušali uskladiti z gibanjem prihodkov, čeprav se zavedamo, da se zaradi različnih razlogov </w:t>
      </w:r>
      <w:r w:rsidR="00400D52" w:rsidRPr="001A67DA">
        <w:rPr>
          <w:rFonts w:ascii="Times New Roman" w:hAnsi="Times New Roman" w:cs="Times New Roman"/>
          <w:sz w:val="24"/>
        </w:rPr>
        <w:t>(</w:t>
      </w:r>
      <w:r w:rsidR="002B2986" w:rsidRPr="001A67DA">
        <w:rPr>
          <w:rFonts w:ascii="Times New Roman" w:hAnsi="Times New Roman" w:cs="Times New Roman"/>
          <w:sz w:val="24"/>
        </w:rPr>
        <w:t xml:space="preserve">npr. </w:t>
      </w:r>
      <w:r w:rsidR="00400D52" w:rsidRPr="001A67DA">
        <w:rPr>
          <w:rFonts w:ascii="Times New Roman" w:hAnsi="Times New Roman" w:cs="Times New Roman"/>
          <w:sz w:val="24"/>
        </w:rPr>
        <w:t>spremenjena</w:t>
      </w:r>
      <w:r w:rsidR="002B2986" w:rsidRPr="001A67DA">
        <w:rPr>
          <w:rFonts w:ascii="Times New Roman" w:hAnsi="Times New Roman" w:cs="Times New Roman"/>
          <w:sz w:val="24"/>
        </w:rPr>
        <w:t xml:space="preserve"> </w:t>
      </w:r>
      <w:r w:rsidR="00400D52" w:rsidRPr="001A67DA">
        <w:rPr>
          <w:rFonts w:ascii="Times New Roman" w:hAnsi="Times New Roman" w:cs="Times New Roman"/>
          <w:sz w:val="24"/>
        </w:rPr>
        <w:t>davčna stopnja, najetje novih posojil in sprememba obrestnih mer, itd.)</w:t>
      </w:r>
      <w:r w:rsidR="00132E9A" w:rsidRPr="001A67DA">
        <w:rPr>
          <w:rFonts w:ascii="Times New Roman" w:hAnsi="Times New Roman" w:cs="Times New Roman"/>
          <w:sz w:val="24"/>
        </w:rPr>
        <w:t xml:space="preserve"> lahko</w:t>
      </w:r>
      <w:r w:rsidR="00400D52" w:rsidRPr="001A67DA">
        <w:rPr>
          <w:rFonts w:ascii="Times New Roman" w:hAnsi="Times New Roman" w:cs="Times New Roman"/>
          <w:sz w:val="24"/>
        </w:rPr>
        <w:t xml:space="preserve"> pojavljajo večje razlike pri napovedovanju. Predvsem davčna stopnja – trenutno 20%, lahko v prihodnjih letih zaradi zmanjšanja spremeni postavko E</w:t>
      </w:r>
      <w:r w:rsidR="001B75E2" w:rsidRPr="001A67DA">
        <w:rPr>
          <w:rFonts w:ascii="Times New Roman" w:hAnsi="Times New Roman" w:cs="Times New Roman"/>
          <w:sz w:val="24"/>
        </w:rPr>
        <w:t>BIT, ki pomeni izračunan dobička iz poslovanja</w:t>
      </w:r>
      <w:r w:rsidR="00400D52" w:rsidRPr="001A67DA">
        <w:rPr>
          <w:rFonts w:ascii="Times New Roman" w:hAnsi="Times New Roman" w:cs="Times New Roman"/>
          <w:sz w:val="24"/>
        </w:rPr>
        <w:t xml:space="preserve"> po davkih.</w:t>
      </w:r>
    </w:p>
    <w:p w:rsidR="004F70D5" w:rsidRPr="0088140C" w:rsidRDefault="004F70D5" w:rsidP="00AD6EDE">
      <w:pPr>
        <w:pStyle w:val="Heading3"/>
        <w:numPr>
          <w:ilvl w:val="2"/>
          <w:numId w:val="4"/>
        </w:numPr>
        <w:spacing w:before="0" w:after="120"/>
        <w:rPr>
          <w:sz w:val="24"/>
        </w:rPr>
      </w:pPr>
      <w:bookmarkStart w:id="12" w:name="_Toc327382750"/>
      <w:r w:rsidRPr="0088140C">
        <w:rPr>
          <w:sz w:val="24"/>
        </w:rPr>
        <w:lastRenderedPageBreak/>
        <w:t>Izračun FCFF</w:t>
      </w:r>
      <w:bookmarkEnd w:id="12"/>
    </w:p>
    <w:p w:rsidR="004F70D5" w:rsidRDefault="004F70D5" w:rsidP="002F04D4">
      <w:pPr>
        <w:spacing w:line="360" w:lineRule="auto"/>
        <w:jc w:val="both"/>
        <w:rPr>
          <w:rFonts w:ascii="Times New Roman" w:hAnsi="Times New Roman" w:cs="Times New Roman"/>
          <w:sz w:val="24"/>
        </w:rPr>
      </w:pPr>
      <w:r w:rsidRPr="001A67DA">
        <w:rPr>
          <w:rFonts w:ascii="Times New Roman" w:hAnsi="Times New Roman" w:cs="Times New Roman"/>
          <w:sz w:val="24"/>
        </w:rPr>
        <w:t>FCFF torej izračunamo tako, da dobičku iz poslovanja po davkih – EBIT(1-t) prištejemo neto investicije (amortizacija – investicije v osnovna sredstva) ter odštejemo spremembe v obratnih čistih sredstvih.</w:t>
      </w:r>
      <w:r w:rsidR="004F34C8" w:rsidRPr="001A67DA">
        <w:rPr>
          <w:rFonts w:ascii="Times New Roman" w:hAnsi="Times New Roman" w:cs="Times New Roman"/>
          <w:sz w:val="24"/>
        </w:rPr>
        <w:t xml:space="preserve"> V tabeli si prikazani izračuni prostih denarnih tokov.</w:t>
      </w:r>
    </w:p>
    <w:p w:rsidR="00C36100" w:rsidRPr="00C36100" w:rsidRDefault="00C36100" w:rsidP="00C36100">
      <w:pPr>
        <w:pStyle w:val="Caption"/>
        <w:spacing w:after="120"/>
        <w:rPr>
          <w:rFonts w:ascii="Times New Roman" w:hAnsi="Times New Roman" w:cs="Times New Roman"/>
          <w:b w:val="0"/>
          <w:color w:val="auto"/>
          <w:sz w:val="28"/>
        </w:rPr>
      </w:pPr>
      <w:bookmarkStart w:id="13" w:name="_Toc327382767"/>
      <w:r w:rsidRPr="00C36100">
        <w:rPr>
          <w:b w:val="0"/>
          <w:color w:val="auto"/>
          <w:sz w:val="20"/>
        </w:rPr>
        <w:t xml:space="preserve">Tabela </w:t>
      </w:r>
      <w:r w:rsidR="005A3C60" w:rsidRPr="00C36100">
        <w:rPr>
          <w:b w:val="0"/>
          <w:color w:val="auto"/>
          <w:sz w:val="20"/>
        </w:rPr>
        <w:fldChar w:fldCharType="begin"/>
      </w:r>
      <w:r w:rsidRPr="00C36100">
        <w:rPr>
          <w:b w:val="0"/>
          <w:color w:val="auto"/>
          <w:sz w:val="20"/>
        </w:rPr>
        <w:instrText xml:space="preserve"> SEQ Tabela \* ARABIC </w:instrText>
      </w:r>
      <w:r w:rsidR="005A3C60" w:rsidRPr="00C36100">
        <w:rPr>
          <w:b w:val="0"/>
          <w:color w:val="auto"/>
          <w:sz w:val="20"/>
        </w:rPr>
        <w:fldChar w:fldCharType="separate"/>
      </w:r>
      <w:r w:rsidR="00664B27">
        <w:rPr>
          <w:b w:val="0"/>
          <w:noProof/>
          <w:color w:val="auto"/>
          <w:sz w:val="20"/>
        </w:rPr>
        <w:t>5</w:t>
      </w:r>
      <w:r w:rsidR="005A3C60" w:rsidRPr="00C36100">
        <w:rPr>
          <w:b w:val="0"/>
          <w:color w:val="auto"/>
          <w:sz w:val="20"/>
        </w:rPr>
        <w:fldChar w:fldCharType="end"/>
      </w:r>
      <w:r w:rsidRPr="00C36100">
        <w:rPr>
          <w:b w:val="0"/>
          <w:color w:val="auto"/>
          <w:sz w:val="20"/>
        </w:rPr>
        <w:t>: Izračun prostih denarnih tokov</w:t>
      </w:r>
      <w:bookmarkEnd w:id="13"/>
    </w:p>
    <w:tbl>
      <w:tblPr>
        <w:tblW w:w="5000" w:type="pct"/>
        <w:tblCellMar>
          <w:left w:w="70" w:type="dxa"/>
          <w:right w:w="70" w:type="dxa"/>
        </w:tblCellMar>
        <w:tblLook w:val="04A0" w:firstRow="1" w:lastRow="0" w:firstColumn="1" w:lastColumn="0" w:noHBand="0" w:noVBand="1"/>
      </w:tblPr>
      <w:tblGrid>
        <w:gridCol w:w="1360"/>
        <w:gridCol w:w="1268"/>
        <w:gridCol w:w="1308"/>
        <w:gridCol w:w="1308"/>
        <w:gridCol w:w="1352"/>
        <w:gridCol w:w="1308"/>
        <w:gridCol w:w="1308"/>
      </w:tblGrid>
      <w:tr w:rsidR="005A15B6" w:rsidRPr="00603FA2" w:rsidTr="005A15B6">
        <w:trPr>
          <w:trHeight w:val="300"/>
        </w:trPr>
        <w:tc>
          <w:tcPr>
            <w:tcW w:w="776" w:type="pct"/>
            <w:tcBorders>
              <w:bottom w:val="single" w:sz="4" w:space="0" w:color="auto"/>
              <w:right w:val="single" w:sz="4" w:space="0" w:color="auto"/>
            </w:tcBorders>
            <w:shd w:val="clear" w:color="auto" w:fill="auto"/>
            <w:noWrap/>
            <w:vAlign w:val="bottom"/>
            <w:hideMark/>
          </w:tcPr>
          <w:p w:rsidR="00603FA2" w:rsidRPr="00603FA2" w:rsidRDefault="00603FA2" w:rsidP="00603FA2">
            <w:pPr>
              <w:spacing w:after="0" w:line="240" w:lineRule="auto"/>
              <w:rPr>
                <w:rFonts w:ascii="Arial" w:eastAsia="Times New Roman" w:hAnsi="Arial" w:cs="Arial"/>
                <w:sz w:val="20"/>
                <w:szCs w:val="20"/>
                <w:lang w:eastAsia="sl-SI"/>
              </w:rPr>
            </w:pPr>
            <w:r w:rsidRPr="00603FA2">
              <w:rPr>
                <w:rFonts w:ascii="Arial" w:eastAsia="Times New Roman" w:hAnsi="Arial" w:cs="Arial"/>
                <w:sz w:val="20"/>
                <w:szCs w:val="20"/>
                <w:lang w:eastAsia="sl-SI"/>
              </w:rPr>
              <w:t> </w:t>
            </w:r>
          </w:p>
        </w:tc>
        <w:tc>
          <w:tcPr>
            <w:tcW w:w="726" w:type="pct"/>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603FA2" w:rsidRPr="00603FA2" w:rsidRDefault="00603FA2" w:rsidP="00603FA2">
            <w:pPr>
              <w:spacing w:after="0" w:line="240" w:lineRule="auto"/>
              <w:jc w:val="right"/>
              <w:rPr>
                <w:rFonts w:ascii="Arial" w:eastAsia="Times New Roman" w:hAnsi="Arial" w:cs="Arial"/>
                <w:bCs/>
                <w:sz w:val="20"/>
                <w:szCs w:val="20"/>
                <w:lang w:eastAsia="sl-SI"/>
              </w:rPr>
            </w:pPr>
            <w:r w:rsidRPr="00603FA2">
              <w:rPr>
                <w:rFonts w:ascii="Arial" w:eastAsia="Times New Roman" w:hAnsi="Arial" w:cs="Arial"/>
                <w:bCs/>
                <w:sz w:val="20"/>
                <w:szCs w:val="20"/>
                <w:lang w:eastAsia="sl-SI"/>
              </w:rPr>
              <w:t>2011</w:t>
            </w:r>
          </w:p>
        </w:tc>
        <w:tc>
          <w:tcPr>
            <w:tcW w:w="534" w:type="pct"/>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603FA2" w:rsidRPr="00603FA2" w:rsidRDefault="00603FA2" w:rsidP="00603FA2">
            <w:pPr>
              <w:spacing w:after="0" w:line="240" w:lineRule="auto"/>
              <w:jc w:val="right"/>
              <w:rPr>
                <w:rFonts w:ascii="Arial" w:eastAsia="Times New Roman" w:hAnsi="Arial" w:cs="Arial"/>
                <w:bCs/>
                <w:sz w:val="20"/>
                <w:szCs w:val="20"/>
                <w:lang w:eastAsia="sl-SI"/>
              </w:rPr>
            </w:pPr>
            <w:r w:rsidRPr="00603FA2">
              <w:rPr>
                <w:rFonts w:ascii="Arial" w:eastAsia="Times New Roman" w:hAnsi="Arial" w:cs="Arial"/>
                <w:bCs/>
                <w:sz w:val="20"/>
                <w:szCs w:val="20"/>
                <w:lang w:eastAsia="sl-SI"/>
              </w:rPr>
              <w:t>2012</w:t>
            </w:r>
          </w:p>
        </w:tc>
        <w:tc>
          <w:tcPr>
            <w:tcW w:w="726" w:type="pct"/>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603FA2" w:rsidRPr="00603FA2" w:rsidRDefault="00603FA2" w:rsidP="00603FA2">
            <w:pPr>
              <w:spacing w:after="0" w:line="240" w:lineRule="auto"/>
              <w:jc w:val="right"/>
              <w:rPr>
                <w:rFonts w:ascii="Arial" w:eastAsia="Times New Roman" w:hAnsi="Arial" w:cs="Arial"/>
                <w:bCs/>
                <w:sz w:val="20"/>
                <w:szCs w:val="20"/>
                <w:lang w:eastAsia="sl-SI"/>
              </w:rPr>
            </w:pPr>
            <w:r w:rsidRPr="00603FA2">
              <w:rPr>
                <w:rFonts w:ascii="Arial" w:eastAsia="Times New Roman" w:hAnsi="Arial" w:cs="Arial"/>
                <w:bCs/>
                <w:sz w:val="20"/>
                <w:szCs w:val="20"/>
                <w:lang w:eastAsia="sl-SI"/>
              </w:rPr>
              <w:t>2013</w:t>
            </w:r>
          </w:p>
        </w:tc>
        <w:tc>
          <w:tcPr>
            <w:tcW w:w="785" w:type="pct"/>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603FA2" w:rsidRPr="00603FA2" w:rsidRDefault="00603FA2" w:rsidP="00603FA2">
            <w:pPr>
              <w:spacing w:after="0" w:line="240" w:lineRule="auto"/>
              <w:jc w:val="right"/>
              <w:rPr>
                <w:rFonts w:ascii="Arial" w:eastAsia="Times New Roman" w:hAnsi="Arial" w:cs="Arial"/>
                <w:bCs/>
                <w:sz w:val="20"/>
                <w:szCs w:val="20"/>
                <w:lang w:eastAsia="sl-SI"/>
              </w:rPr>
            </w:pPr>
            <w:r w:rsidRPr="00603FA2">
              <w:rPr>
                <w:rFonts w:ascii="Arial" w:eastAsia="Times New Roman" w:hAnsi="Arial" w:cs="Arial"/>
                <w:bCs/>
                <w:sz w:val="20"/>
                <w:szCs w:val="20"/>
                <w:lang w:eastAsia="sl-SI"/>
              </w:rPr>
              <w:t>2014</w:t>
            </w:r>
          </w:p>
        </w:tc>
        <w:tc>
          <w:tcPr>
            <w:tcW w:w="726" w:type="pct"/>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603FA2" w:rsidRPr="00603FA2" w:rsidRDefault="00603FA2" w:rsidP="00603FA2">
            <w:pPr>
              <w:spacing w:after="0" w:line="240" w:lineRule="auto"/>
              <w:jc w:val="right"/>
              <w:rPr>
                <w:rFonts w:ascii="Arial" w:eastAsia="Times New Roman" w:hAnsi="Arial" w:cs="Arial"/>
                <w:bCs/>
                <w:sz w:val="20"/>
                <w:szCs w:val="20"/>
                <w:lang w:eastAsia="sl-SI"/>
              </w:rPr>
            </w:pPr>
            <w:r w:rsidRPr="00603FA2">
              <w:rPr>
                <w:rFonts w:ascii="Arial" w:eastAsia="Times New Roman" w:hAnsi="Arial" w:cs="Arial"/>
                <w:bCs/>
                <w:sz w:val="20"/>
                <w:szCs w:val="20"/>
                <w:lang w:eastAsia="sl-SI"/>
              </w:rPr>
              <w:t>2015</w:t>
            </w:r>
          </w:p>
        </w:tc>
        <w:tc>
          <w:tcPr>
            <w:tcW w:w="726" w:type="pct"/>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603FA2" w:rsidRPr="00603FA2" w:rsidRDefault="00603FA2" w:rsidP="00603FA2">
            <w:pPr>
              <w:spacing w:after="0" w:line="240" w:lineRule="auto"/>
              <w:jc w:val="right"/>
              <w:rPr>
                <w:rFonts w:ascii="Arial" w:eastAsia="Times New Roman" w:hAnsi="Arial" w:cs="Arial"/>
                <w:bCs/>
                <w:sz w:val="20"/>
                <w:szCs w:val="20"/>
                <w:lang w:eastAsia="sl-SI"/>
              </w:rPr>
            </w:pPr>
            <w:r w:rsidRPr="00603FA2">
              <w:rPr>
                <w:rFonts w:ascii="Arial" w:eastAsia="Times New Roman" w:hAnsi="Arial" w:cs="Arial"/>
                <w:bCs/>
                <w:sz w:val="20"/>
                <w:szCs w:val="20"/>
                <w:lang w:eastAsia="sl-SI"/>
              </w:rPr>
              <w:t>2016</w:t>
            </w:r>
          </w:p>
        </w:tc>
      </w:tr>
      <w:tr w:rsidR="00603FA2" w:rsidRPr="00603FA2" w:rsidTr="00603FA2">
        <w:trPr>
          <w:trHeight w:val="300"/>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603FA2" w:rsidRPr="00603FA2" w:rsidRDefault="00603FA2" w:rsidP="00603FA2">
            <w:pPr>
              <w:spacing w:after="0" w:line="240" w:lineRule="auto"/>
              <w:rPr>
                <w:rFonts w:ascii="Arial" w:eastAsia="Times New Roman" w:hAnsi="Arial" w:cs="Arial"/>
                <w:sz w:val="20"/>
                <w:szCs w:val="20"/>
                <w:lang w:eastAsia="sl-SI"/>
              </w:rPr>
            </w:pPr>
            <w:r w:rsidRPr="00603FA2">
              <w:rPr>
                <w:rFonts w:ascii="Arial" w:eastAsia="Times New Roman" w:hAnsi="Arial" w:cs="Arial"/>
                <w:sz w:val="20"/>
                <w:szCs w:val="20"/>
                <w:lang w:eastAsia="sl-SI"/>
              </w:rPr>
              <w:t>FCF</w:t>
            </w:r>
          </w:p>
        </w:tc>
        <w:tc>
          <w:tcPr>
            <w:tcW w:w="726" w:type="pct"/>
            <w:tcBorders>
              <w:top w:val="nil"/>
              <w:left w:val="nil"/>
              <w:bottom w:val="single" w:sz="4" w:space="0" w:color="auto"/>
              <w:right w:val="single" w:sz="4" w:space="0" w:color="auto"/>
            </w:tcBorders>
            <w:shd w:val="clear" w:color="auto" w:fill="auto"/>
            <w:noWrap/>
            <w:vAlign w:val="bottom"/>
            <w:hideMark/>
          </w:tcPr>
          <w:p w:rsidR="00603FA2" w:rsidRPr="00603FA2" w:rsidRDefault="00603FA2" w:rsidP="00603FA2">
            <w:pPr>
              <w:spacing w:after="0" w:line="240" w:lineRule="auto"/>
              <w:jc w:val="right"/>
              <w:rPr>
                <w:rFonts w:ascii="Arial" w:eastAsia="Times New Roman" w:hAnsi="Arial" w:cs="Arial"/>
                <w:bCs/>
                <w:sz w:val="20"/>
                <w:szCs w:val="20"/>
                <w:lang w:eastAsia="sl-SI"/>
              </w:rPr>
            </w:pPr>
            <w:r w:rsidRPr="00603FA2">
              <w:rPr>
                <w:rFonts w:ascii="Arial" w:eastAsia="Times New Roman" w:hAnsi="Arial" w:cs="Arial"/>
                <w:bCs/>
                <w:sz w:val="20"/>
                <w:szCs w:val="20"/>
                <w:lang w:eastAsia="sl-SI"/>
              </w:rPr>
              <w:t>5.578.687</w:t>
            </w:r>
            <w:r w:rsidRPr="005A15B6">
              <w:rPr>
                <w:rFonts w:ascii="Arial" w:eastAsia="Times New Roman" w:hAnsi="Arial" w:cs="Arial"/>
                <w:bCs/>
                <w:sz w:val="20"/>
                <w:szCs w:val="20"/>
                <w:lang w:eastAsia="sl-SI"/>
              </w:rPr>
              <w:t xml:space="preserve"> €</w:t>
            </w:r>
          </w:p>
        </w:tc>
        <w:tc>
          <w:tcPr>
            <w:tcW w:w="534" w:type="pct"/>
            <w:tcBorders>
              <w:top w:val="nil"/>
              <w:left w:val="nil"/>
              <w:bottom w:val="single" w:sz="4" w:space="0" w:color="auto"/>
              <w:right w:val="single" w:sz="4" w:space="0" w:color="auto"/>
            </w:tcBorders>
            <w:shd w:val="clear" w:color="auto" w:fill="auto"/>
            <w:noWrap/>
            <w:vAlign w:val="bottom"/>
            <w:hideMark/>
          </w:tcPr>
          <w:p w:rsidR="00603FA2" w:rsidRPr="00603FA2" w:rsidRDefault="00603FA2" w:rsidP="00603FA2">
            <w:pPr>
              <w:spacing w:after="0" w:line="240" w:lineRule="auto"/>
              <w:jc w:val="right"/>
              <w:rPr>
                <w:rFonts w:ascii="Arial" w:eastAsia="Times New Roman" w:hAnsi="Arial" w:cs="Arial"/>
                <w:bCs/>
                <w:sz w:val="20"/>
                <w:szCs w:val="20"/>
                <w:lang w:eastAsia="sl-SI"/>
              </w:rPr>
            </w:pPr>
            <w:r w:rsidRPr="00603FA2">
              <w:rPr>
                <w:rFonts w:ascii="Arial" w:eastAsia="Times New Roman" w:hAnsi="Arial" w:cs="Arial"/>
                <w:bCs/>
                <w:sz w:val="20"/>
                <w:szCs w:val="20"/>
                <w:lang w:eastAsia="sl-SI"/>
              </w:rPr>
              <w:t>10.820.755</w:t>
            </w:r>
            <w:r w:rsidRPr="005A15B6">
              <w:rPr>
                <w:rFonts w:ascii="Arial" w:eastAsia="Times New Roman" w:hAnsi="Arial" w:cs="Arial"/>
                <w:bCs/>
                <w:sz w:val="20"/>
                <w:szCs w:val="20"/>
                <w:lang w:eastAsia="sl-SI"/>
              </w:rPr>
              <w:t xml:space="preserve"> €</w:t>
            </w:r>
          </w:p>
        </w:tc>
        <w:tc>
          <w:tcPr>
            <w:tcW w:w="726" w:type="pct"/>
            <w:tcBorders>
              <w:top w:val="nil"/>
              <w:left w:val="nil"/>
              <w:bottom w:val="single" w:sz="4" w:space="0" w:color="auto"/>
              <w:right w:val="single" w:sz="4" w:space="0" w:color="auto"/>
            </w:tcBorders>
            <w:shd w:val="clear" w:color="auto" w:fill="auto"/>
            <w:noWrap/>
            <w:vAlign w:val="bottom"/>
            <w:hideMark/>
          </w:tcPr>
          <w:p w:rsidR="00603FA2" w:rsidRPr="00603FA2" w:rsidRDefault="00603FA2" w:rsidP="00603FA2">
            <w:pPr>
              <w:spacing w:after="0" w:line="240" w:lineRule="auto"/>
              <w:jc w:val="right"/>
              <w:rPr>
                <w:rFonts w:ascii="Arial" w:eastAsia="Times New Roman" w:hAnsi="Arial" w:cs="Arial"/>
                <w:bCs/>
                <w:sz w:val="20"/>
                <w:szCs w:val="20"/>
                <w:lang w:eastAsia="sl-SI"/>
              </w:rPr>
            </w:pPr>
            <w:r w:rsidRPr="00603FA2">
              <w:rPr>
                <w:rFonts w:ascii="Arial" w:eastAsia="Times New Roman" w:hAnsi="Arial" w:cs="Arial"/>
                <w:bCs/>
                <w:sz w:val="20"/>
                <w:szCs w:val="20"/>
                <w:lang w:eastAsia="sl-SI"/>
              </w:rPr>
              <w:t>10.116.202</w:t>
            </w:r>
            <w:r w:rsidRPr="005A15B6">
              <w:rPr>
                <w:rFonts w:ascii="Arial" w:eastAsia="Times New Roman" w:hAnsi="Arial" w:cs="Arial"/>
                <w:bCs/>
                <w:sz w:val="20"/>
                <w:szCs w:val="20"/>
                <w:lang w:eastAsia="sl-SI"/>
              </w:rPr>
              <w:t xml:space="preserve"> €</w:t>
            </w:r>
          </w:p>
        </w:tc>
        <w:tc>
          <w:tcPr>
            <w:tcW w:w="785" w:type="pct"/>
            <w:tcBorders>
              <w:top w:val="nil"/>
              <w:left w:val="nil"/>
              <w:bottom w:val="single" w:sz="4" w:space="0" w:color="auto"/>
              <w:right w:val="single" w:sz="4" w:space="0" w:color="auto"/>
            </w:tcBorders>
            <w:shd w:val="clear" w:color="auto" w:fill="auto"/>
            <w:noWrap/>
            <w:vAlign w:val="bottom"/>
            <w:hideMark/>
          </w:tcPr>
          <w:p w:rsidR="00603FA2" w:rsidRPr="00603FA2" w:rsidRDefault="00603FA2" w:rsidP="00603FA2">
            <w:pPr>
              <w:spacing w:after="0" w:line="240" w:lineRule="auto"/>
              <w:jc w:val="right"/>
              <w:rPr>
                <w:rFonts w:ascii="Arial" w:eastAsia="Times New Roman" w:hAnsi="Arial" w:cs="Arial"/>
                <w:bCs/>
                <w:sz w:val="20"/>
                <w:szCs w:val="20"/>
                <w:lang w:eastAsia="sl-SI"/>
              </w:rPr>
            </w:pPr>
            <w:r w:rsidRPr="00603FA2">
              <w:rPr>
                <w:rFonts w:ascii="Arial" w:eastAsia="Times New Roman" w:hAnsi="Arial" w:cs="Arial"/>
                <w:bCs/>
                <w:sz w:val="20"/>
                <w:szCs w:val="20"/>
                <w:lang w:eastAsia="sl-SI"/>
              </w:rPr>
              <w:t>10.294.572</w:t>
            </w:r>
            <w:r w:rsidRPr="005A15B6">
              <w:rPr>
                <w:rFonts w:ascii="Arial" w:eastAsia="Times New Roman" w:hAnsi="Arial" w:cs="Arial"/>
                <w:bCs/>
                <w:sz w:val="20"/>
                <w:szCs w:val="20"/>
                <w:lang w:eastAsia="sl-SI"/>
              </w:rPr>
              <w:t xml:space="preserve"> €</w:t>
            </w:r>
          </w:p>
        </w:tc>
        <w:tc>
          <w:tcPr>
            <w:tcW w:w="726" w:type="pct"/>
            <w:tcBorders>
              <w:top w:val="nil"/>
              <w:left w:val="nil"/>
              <w:bottom w:val="single" w:sz="4" w:space="0" w:color="auto"/>
              <w:right w:val="single" w:sz="4" w:space="0" w:color="auto"/>
            </w:tcBorders>
            <w:shd w:val="clear" w:color="auto" w:fill="auto"/>
            <w:noWrap/>
            <w:vAlign w:val="bottom"/>
            <w:hideMark/>
          </w:tcPr>
          <w:p w:rsidR="00603FA2" w:rsidRPr="00603FA2" w:rsidRDefault="00603FA2" w:rsidP="00603FA2">
            <w:pPr>
              <w:spacing w:after="0" w:line="240" w:lineRule="auto"/>
              <w:jc w:val="right"/>
              <w:rPr>
                <w:rFonts w:ascii="Arial" w:eastAsia="Times New Roman" w:hAnsi="Arial" w:cs="Arial"/>
                <w:bCs/>
                <w:sz w:val="20"/>
                <w:szCs w:val="20"/>
                <w:lang w:eastAsia="sl-SI"/>
              </w:rPr>
            </w:pPr>
            <w:r w:rsidRPr="00603FA2">
              <w:rPr>
                <w:rFonts w:ascii="Arial" w:eastAsia="Times New Roman" w:hAnsi="Arial" w:cs="Arial"/>
                <w:bCs/>
                <w:sz w:val="20"/>
                <w:szCs w:val="20"/>
                <w:lang w:eastAsia="sl-SI"/>
              </w:rPr>
              <w:t>10.154.101</w:t>
            </w:r>
            <w:r w:rsidRPr="005A15B6">
              <w:rPr>
                <w:rFonts w:ascii="Arial" w:eastAsia="Times New Roman" w:hAnsi="Arial" w:cs="Arial"/>
                <w:bCs/>
                <w:sz w:val="20"/>
                <w:szCs w:val="20"/>
                <w:lang w:eastAsia="sl-SI"/>
              </w:rPr>
              <w:t xml:space="preserve"> €</w:t>
            </w:r>
          </w:p>
        </w:tc>
        <w:tc>
          <w:tcPr>
            <w:tcW w:w="726" w:type="pct"/>
            <w:tcBorders>
              <w:top w:val="nil"/>
              <w:left w:val="nil"/>
              <w:bottom w:val="single" w:sz="4" w:space="0" w:color="auto"/>
              <w:right w:val="single" w:sz="4" w:space="0" w:color="auto"/>
            </w:tcBorders>
            <w:shd w:val="clear" w:color="auto" w:fill="auto"/>
            <w:noWrap/>
            <w:vAlign w:val="bottom"/>
            <w:hideMark/>
          </w:tcPr>
          <w:p w:rsidR="00603FA2" w:rsidRPr="00603FA2" w:rsidRDefault="00603FA2" w:rsidP="00603FA2">
            <w:pPr>
              <w:spacing w:after="0" w:line="240" w:lineRule="auto"/>
              <w:jc w:val="right"/>
              <w:rPr>
                <w:rFonts w:ascii="Arial" w:eastAsia="Times New Roman" w:hAnsi="Arial" w:cs="Arial"/>
                <w:bCs/>
                <w:sz w:val="20"/>
                <w:szCs w:val="20"/>
                <w:lang w:eastAsia="sl-SI"/>
              </w:rPr>
            </w:pPr>
            <w:r w:rsidRPr="00603FA2">
              <w:rPr>
                <w:rFonts w:ascii="Arial" w:eastAsia="Times New Roman" w:hAnsi="Arial" w:cs="Arial"/>
                <w:bCs/>
                <w:sz w:val="20"/>
                <w:szCs w:val="20"/>
                <w:lang w:eastAsia="sl-SI"/>
              </w:rPr>
              <w:t>12.493.546</w:t>
            </w:r>
            <w:r w:rsidRPr="005A15B6">
              <w:rPr>
                <w:rFonts w:ascii="Arial" w:eastAsia="Times New Roman" w:hAnsi="Arial" w:cs="Arial"/>
                <w:bCs/>
                <w:sz w:val="20"/>
                <w:szCs w:val="20"/>
                <w:lang w:eastAsia="sl-SI"/>
              </w:rPr>
              <w:t xml:space="preserve"> €</w:t>
            </w:r>
          </w:p>
        </w:tc>
      </w:tr>
    </w:tbl>
    <w:p w:rsidR="008A65AF" w:rsidRDefault="008A65AF" w:rsidP="008A65AF">
      <w:pPr>
        <w:spacing w:after="0" w:line="360" w:lineRule="auto"/>
        <w:jc w:val="both"/>
        <w:rPr>
          <w:sz w:val="24"/>
        </w:rPr>
      </w:pPr>
    </w:p>
    <w:p w:rsidR="008A65AF" w:rsidRPr="001A67DA" w:rsidRDefault="008A65AF" w:rsidP="002F04D4">
      <w:pPr>
        <w:spacing w:line="360" w:lineRule="auto"/>
        <w:jc w:val="both"/>
        <w:rPr>
          <w:rFonts w:ascii="Times New Roman" w:hAnsi="Times New Roman" w:cs="Times New Roman"/>
          <w:sz w:val="24"/>
        </w:rPr>
      </w:pPr>
      <w:r w:rsidRPr="001A67DA">
        <w:rPr>
          <w:rFonts w:ascii="Times New Roman" w:hAnsi="Times New Roman" w:cs="Times New Roman"/>
          <w:sz w:val="24"/>
        </w:rPr>
        <w:t>Manjši prosti denarni tok v letu 2011 je predvsem posledica povečanja čistih obratnih sredstev. Razlog njihovemu povečanju je opisan že v odstavku o ugotavljanju vrednosti čistih obratnih sredstev zgoraj.</w:t>
      </w:r>
    </w:p>
    <w:p w:rsidR="004E4AF0" w:rsidRDefault="004E4AF0" w:rsidP="00AD6EDE">
      <w:pPr>
        <w:pStyle w:val="Heading2"/>
        <w:numPr>
          <w:ilvl w:val="1"/>
          <w:numId w:val="4"/>
        </w:numPr>
        <w:spacing w:before="0" w:after="120"/>
      </w:pPr>
      <w:bookmarkStart w:id="14" w:name="_Toc327382751"/>
      <w:r>
        <w:t>STOPNJA RASTI – G</w:t>
      </w:r>
      <w:bookmarkEnd w:id="14"/>
    </w:p>
    <w:p w:rsidR="00752290" w:rsidRDefault="004E4AF0" w:rsidP="004E4AF0">
      <w:pPr>
        <w:spacing w:line="360" w:lineRule="auto"/>
        <w:jc w:val="both"/>
        <w:rPr>
          <w:rFonts w:ascii="Times New Roman" w:eastAsiaTheme="minorEastAsia" w:hAnsi="Times New Roman" w:cs="Times New Roman"/>
          <w:sz w:val="24"/>
        </w:rPr>
      </w:pPr>
      <w:r w:rsidRPr="001A67DA">
        <w:rPr>
          <w:rFonts w:ascii="Times New Roman" w:hAnsi="Times New Roman" w:cs="Times New Roman"/>
          <w:sz w:val="24"/>
        </w:rPr>
        <w:t xml:space="preserve">Tukaj postavljamo izhodišče za napovedovanje parametra g, ki pri vrednotenju podjetja pomeni stopnja rasti podjetja v neskončnost. Za trg vozil za prosti čas ne moremo napovedovati previsokih stopenj rasti. Določanje te stopnje zelo močno vpliva na vrednost podjetja, zato smo se pri njenem določanju skušali opirati na rast gospodarstev, ki najbolj vplivajo na poslovanje Skupine Adria </w:t>
      </w:r>
      <w:proofErr w:type="spellStart"/>
      <w:r w:rsidRPr="001A67DA">
        <w:rPr>
          <w:rFonts w:ascii="Times New Roman" w:hAnsi="Times New Roman" w:cs="Times New Roman"/>
          <w:sz w:val="24"/>
        </w:rPr>
        <w:t>Mobil</w:t>
      </w:r>
      <w:proofErr w:type="spellEnd"/>
      <w:r w:rsidRPr="001A67DA">
        <w:rPr>
          <w:rFonts w:ascii="Times New Roman" w:hAnsi="Times New Roman" w:cs="Times New Roman"/>
          <w:sz w:val="24"/>
        </w:rPr>
        <w:t xml:space="preserve">. Po napovedih naj bi gospodarska rast v skandinavskih državah (Švedska, Finska, Norveška, Danska), Franciji in Nemčiji že naslednje leto (2013) znašala približno 2%. Po prvih podatkih ECF pa lahko ocenimo, da bo letošnja prodaja znašala okoli 2%. Gospodarstva se že pobirajo iz krize in zato, smo njihovo dolgoročno rast ocenili na približno 3%, toliko kot pred krizo. Enako stopnjo smo vzeli tudi za trg na katerem posluje SAM. Pogledali smo si tudi podatke, ki so objavljeni na </w:t>
      </w:r>
      <w:proofErr w:type="spellStart"/>
      <w:r w:rsidRPr="001A67DA">
        <w:rPr>
          <w:rFonts w:ascii="Times New Roman" w:hAnsi="Times New Roman" w:cs="Times New Roman"/>
          <w:sz w:val="24"/>
        </w:rPr>
        <w:t>Damodaran</w:t>
      </w:r>
      <w:proofErr w:type="spellEnd"/>
      <w:r w:rsidRPr="001A67DA">
        <w:rPr>
          <w:rFonts w:ascii="Times New Roman" w:hAnsi="Times New Roman" w:cs="Times New Roman"/>
          <w:sz w:val="24"/>
        </w:rPr>
        <w:t xml:space="preserve"> spletni strani, vendar smo naleteli na težavo, saj nismo našli industrije, ki bi vsaj približno ustrezala tej vrsti dejavnosti. Avtomobilska industrija namreč ne velja za dovolj dober približek, saj so v njej popolnoma drugi igralci in avtomobili ne veljajo za luksuzne dobrine. Žal nismo našli tudi industrije, ki bi se nanašala na turizem. Ta bi bila dovolj povezana z dogajanji na trgih vozil za prosti čas. Po posvetovanju smo prišli do zaključka, da bi bili najboljši približek zabavna industrija, ki ima značaj luksuznih dobrin ter rekreacijska industrija, katero lahko najlažje približamo produktom, ki so povezani s preživljanjem prostega časa. Pričakovana stopnja rasti EBIT-a v zabavni industriji znaša -0,88%, v rekreacijski pa 4,17%. Pri ugotavljanju rasti v EPS (dobiček na delnico) se za prvo pričakuje 7,10% rast, za drugo pa 5,42%. Ti dve rasti tudi sovpadata z našimi napovedi za naslednjih nekaj let.</w:t>
      </w:r>
      <w:r w:rsidR="00D462BC" w:rsidRPr="001A67DA">
        <w:rPr>
          <w:rFonts w:ascii="Times New Roman" w:hAnsi="Times New Roman" w:cs="Times New Roman"/>
          <w:sz w:val="24"/>
        </w:rPr>
        <w:t xml:space="preserve"> Za napovedovanje rasti v daljš</w:t>
      </w:r>
      <w:r w:rsidRPr="001A67DA">
        <w:rPr>
          <w:rFonts w:ascii="Times New Roman" w:hAnsi="Times New Roman" w:cs="Times New Roman"/>
          <w:sz w:val="24"/>
        </w:rPr>
        <w:t>i prihodnosti pa smo pogledali zgodovinsko rast EPS-</w:t>
      </w:r>
      <w:r w:rsidRPr="001A67DA">
        <w:rPr>
          <w:rFonts w:ascii="Times New Roman" w:hAnsi="Times New Roman" w:cs="Times New Roman"/>
          <w:sz w:val="24"/>
        </w:rPr>
        <w:lastRenderedPageBreak/>
        <w:t xml:space="preserve">ja teh dveh sektorjev. Zgodovinska rast za zabavni sektor znaša 2,55%, za rekreacijsko pa -2,12%. Prva nam daje dovolj dober </w:t>
      </w:r>
      <w:r w:rsidR="00BF69FC" w:rsidRPr="001A67DA">
        <w:rPr>
          <w:rFonts w:ascii="Times New Roman" w:hAnsi="Times New Roman" w:cs="Times New Roman"/>
          <w:sz w:val="24"/>
        </w:rPr>
        <w:t>približek</w:t>
      </w:r>
      <w:r w:rsidRPr="001A67DA">
        <w:rPr>
          <w:rFonts w:ascii="Times New Roman" w:hAnsi="Times New Roman" w:cs="Times New Roman"/>
          <w:sz w:val="24"/>
        </w:rPr>
        <w:t xml:space="preserve">, ki utemeljuje izbire 3% rasti. </w:t>
      </w:r>
      <w:r w:rsidR="005C5326" w:rsidRPr="001A67DA">
        <w:rPr>
          <w:rFonts w:ascii="Times New Roman" w:hAnsi="Times New Roman" w:cs="Times New Roman"/>
          <w:sz w:val="24"/>
        </w:rPr>
        <w:t xml:space="preserve">Stopnjo rasti smo skušali ugotoviti tudi po enačbi </w:t>
      </w:r>
      <m:oMath>
        <m:r>
          <w:rPr>
            <w:rFonts w:ascii="Cambria Math" w:hAnsi="Cambria Math" w:cs="Times New Roman"/>
            <w:sz w:val="24"/>
          </w:rPr>
          <m:t>g=ROE*delež zadržanega dobička</m:t>
        </m:r>
      </m:oMath>
      <w:r w:rsidR="005C5326" w:rsidRPr="001A67DA">
        <w:rPr>
          <w:rFonts w:ascii="Times New Roman" w:eastAsiaTheme="minorEastAsia" w:hAnsi="Times New Roman" w:cs="Times New Roman"/>
          <w:sz w:val="24"/>
        </w:rPr>
        <w:t>. ROE za zadnja 3 leta smo izračunali v prvi seminarski, tako da smo izračunali le delež zadržanega dobička.</w:t>
      </w:r>
      <w:r w:rsidR="00F0481E" w:rsidRPr="001A67DA">
        <w:rPr>
          <w:rFonts w:ascii="Times New Roman" w:eastAsiaTheme="minorEastAsia" w:hAnsi="Times New Roman" w:cs="Times New Roman"/>
          <w:sz w:val="24"/>
        </w:rPr>
        <w:t xml:space="preserve"> V spodnji tabeli so prikazani razni izračuni stopenj rasti iz različnih virov.</w:t>
      </w:r>
    </w:p>
    <w:p w:rsidR="00C36100" w:rsidRPr="00C36100" w:rsidRDefault="00C36100" w:rsidP="00C36100">
      <w:pPr>
        <w:pStyle w:val="Caption"/>
        <w:spacing w:after="120"/>
        <w:jc w:val="center"/>
        <w:rPr>
          <w:rFonts w:ascii="Times New Roman" w:eastAsiaTheme="minorEastAsia" w:hAnsi="Times New Roman" w:cs="Times New Roman"/>
          <w:b w:val="0"/>
          <w:color w:val="auto"/>
          <w:sz w:val="28"/>
        </w:rPr>
      </w:pPr>
      <w:bookmarkStart w:id="15" w:name="_Toc327382768"/>
      <w:r w:rsidRPr="00C36100">
        <w:rPr>
          <w:b w:val="0"/>
          <w:color w:val="auto"/>
          <w:sz w:val="20"/>
        </w:rPr>
        <w:t xml:space="preserve">Tabela </w:t>
      </w:r>
      <w:r w:rsidR="005A3C60" w:rsidRPr="00C36100">
        <w:rPr>
          <w:b w:val="0"/>
          <w:color w:val="auto"/>
          <w:sz w:val="20"/>
        </w:rPr>
        <w:fldChar w:fldCharType="begin"/>
      </w:r>
      <w:r w:rsidRPr="00C36100">
        <w:rPr>
          <w:b w:val="0"/>
          <w:color w:val="auto"/>
          <w:sz w:val="20"/>
        </w:rPr>
        <w:instrText xml:space="preserve"> SEQ Tabela \* ARABIC </w:instrText>
      </w:r>
      <w:r w:rsidR="005A3C60" w:rsidRPr="00C36100">
        <w:rPr>
          <w:b w:val="0"/>
          <w:color w:val="auto"/>
          <w:sz w:val="20"/>
        </w:rPr>
        <w:fldChar w:fldCharType="separate"/>
      </w:r>
      <w:r w:rsidR="00664B27">
        <w:rPr>
          <w:b w:val="0"/>
          <w:noProof/>
          <w:color w:val="auto"/>
          <w:sz w:val="20"/>
        </w:rPr>
        <w:t>6</w:t>
      </w:r>
      <w:r w:rsidR="005A3C60" w:rsidRPr="00C36100">
        <w:rPr>
          <w:b w:val="0"/>
          <w:color w:val="auto"/>
          <w:sz w:val="20"/>
        </w:rPr>
        <w:fldChar w:fldCharType="end"/>
      </w:r>
      <w:r w:rsidRPr="00C36100">
        <w:rPr>
          <w:b w:val="0"/>
          <w:color w:val="auto"/>
          <w:sz w:val="20"/>
        </w:rPr>
        <w:t>: Stopnje rasti iz različnih virov</w:t>
      </w:r>
      <w:bookmarkEnd w:id="15"/>
    </w:p>
    <w:tbl>
      <w:tblPr>
        <w:tblW w:w="7940" w:type="dxa"/>
        <w:jc w:val="center"/>
        <w:tblInd w:w="55" w:type="dxa"/>
        <w:tblCellMar>
          <w:left w:w="70" w:type="dxa"/>
          <w:right w:w="70" w:type="dxa"/>
        </w:tblCellMar>
        <w:tblLook w:val="04A0" w:firstRow="1" w:lastRow="0" w:firstColumn="1" w:lastColumn="0" w:noHBand="0" w:noVBand="1"/>
      </w:tblPr>
      <w:tblGrid>
        <w:gridCol w:w="3320"/>
        <w:gridCol w:w="1480"/>
        <w:gridCol w:w="1120"/>
        <w:gridCol w:w="1060"/>
        <w:gridCol w:w="960"/>
      </w:tblGrid>
      <w:tr w:rsidR="00752290" w:rsidRPr="00752290" w:rsidTr="00752290">
        <w:trPr>
          <w:trHeight w:val="300"/>
          <w:jc w:val="center"/>
        </w:trPr>
        <w:tc>
          <w:tcPr>
            <w:tcW w:w="3320" w:type="dxa"/>
            <w:tcBorders>
              <w:top w:val="nil"/>
              <w:left w:val="nil"/>
              <w:bottom w:val="nil"/>
              <w:right w:val="nil"/>
            </w:tcBorders>
            <w:shd w:val="clear" w:color="auto" w:fill="auto"/>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p>
        </w:tc>
        <w:tc>
          <w:tcPr>
            <w:tcW w:w="1480"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2011</w:t>
            </w:r>
          </w:p>
        </w:tc>
        <w:tc>
          <w:tcPr>
            <w:tcW w:w="1120" w:type="dxa"/>
            <w:tcBorders>
              <w:top w:val="single" w:sz="4" w:space="0" w:color="auto"/>
              <w:left w:val="nil"/>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2012</w:t>
            </w:r>
          </w:p>
        </w:tc>
        <w:tc>
          <w:tcPr>
            <w:tcW w:w="1060" w:type="dxa"/>
            <w:tcBorders>
              <w:top w:val="single" w:sz="4" w:space="0" w:color="auto"/>
              <w:left w:val="nil"/>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2013</w:t>
            </w:r>
          </w:p>
        </w:tc>
        <w:tc>
          <w:tcPr>
            <w:tcW w:w="960" w:type="dxa"/>
            <w:tcBorders>
              <w:top w:val="single" w:sz="4" w:space="0" w:color="auto"/>
              <w:left w:val="nil"/>
              <w:bottom w:val="single" w:sz="4" w:space="0" w:color="auto"/>
              <w:right w:val="single" w:sz="4" w:space="0" w:color="auto"/>
              <w:tr2bl w:val="single" w:sz="4" w:space="0" w:color="auto"/>
            </w:tcBorders>
            <w:shd w:val="clear" w:color="000000" w:fill="E6B8B7"/>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r>
      <w:tr w:rsidR="00752290" w:rsidRPr="00752290" w:rsidTr="00752290">
        <w:trPr>
          <w:trHeight w:val="300"/>
          <w:jc w:val="center"/>
        </w:trPr>
        <w:tc>
          <w:tcPr>
            <w:tcW w:w="3320"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Rast gospodarstev</w:t>
            </w:r>
          </w:p>
        </w:tc>
        <w:tc>
          <w:tcPr>
            <w:tcW w:w="148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c>
          <w:tcPr>
            <w:tcW w:w="112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c>
          <w:tcPr>
            <w:tcW w:w="106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c>
          <w:tcPr>
            <w:tcW w:w="960" w:type="dxa"/>
            <w:vMerge w:val="restart"/>
            <w:tcBorders>
              <w:top w:val="nil"/>
              <w:left w:val="single" w:sz="4" w:space="0" w:color="auto"/>
              <w:bottom w:val="single" w:sz="4" w:space="0" w:color="000000"/>
              <w:right w:val="single" w:sz="4" w:space="0" w:color="auto"/>
              <w:tr2bl w:val="single" w:sz="4" w:space="0" w:color="auto"/>
            </w:tcBorders>
            <w:shd w:val="clear" w:color="auto" w:fill="auto"/>
            <w:noWrap/>
            <w:vAlign w:val="bottom"/>
            <w:hideMark/>
          </w:tcPr>
          <w:p w:rsidR="00752290" w:rsidRPr="00752290" w:rsidRDefault="00752290" w:rsidP="00752290">
            <w:pPr>
              <w:spacing w:after="0" w:line="240" w:lineRule="auto"/>
              <w:jc w:val="center"/>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r>
      <w:tr w:rsidR="00752290" w:rsidRPr="00752290" w:rsidTr="00752290">
        <w:trPr>
          <w:trHeight w:val="300"/>
          <w:jc w:val="center"/>
        </w:trPr>
        <w:tc>
          <w:tcPr>
            <w:tcW w:w="3320" w:type="dxa"/>
            <w:tcBorders>
              <w:top w:val="nil"/>
              <w:left w:val="single" w:sz="4" w:space="0" w:color="auto"/>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EU (27 članic)</w:t>
            </w:r>
          </w:p>
        </w:tc>
        <w:tc>
          <w:tcPr>
            <w:tcW w:w="148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1,50%</w:t>
            </w:r>
          </w:p>
        </w:tc>
        <w:tc>
          <w:tcPr>
            <w:tcW w:w="112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0,00%</w:t>
            </w:r>
          </w:p>
        </w:tc>
        <w:tc>
          <w:tcPr>
            <w:tcW w:w="106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1,30%</w:t>
            </w:r>
          </w:p>
        </w:tc>
        <w:tc>
          <w:tcPr>
            <w:tcW w:w="960" w:type="dxa"/>
            <w:vMerge/>
            <w:tcBorders>
              <w:top w:val="nil"/>
              <w:left w:val="single" w:sz="4" w:space="0" w:color="auto"/>
              <w:bottom w:val="single" w:sz="4" w:space="0" w:color="000000"/>
              <w:right w:val="single" w:sz="4" w:space="0" w:color="auto"/>
            </w:tcBorders>
            <w:vAlign w:val="center"/>
            <w:hideMark/>
          </w:tcPr>
          <w:p w:rsidR="00752290" w:rsidRPr="00752290" w:rsidRDefault="00752290" w:rsidP="00752290">
            <w:pPr>
              <w:spacing w:after="0" w:line="240" w:lineRule="auto"/>
              <w:rPr>
                <w:rFonts w:ascii="Calibri" w:eastAsia="Times New Roman" w:hAnsi="Calibri" w:cs="Calibri"/>
                <w:color w:val="000000"/>
                <w:lang w:eastAsia="sl-SI"/>
              </w:rPr>
            </w:pPr>
          </w:p>
        </w:tc>
      </w:tr>
      <w:tr w:rsidR="00752290" w:rsidRPr="00752290" w:rsidTr="00752290">
        <w:trPr>
          <w:trHeight w:val="300"/>
          <w:jc w:val="center"/>
        </w:trPr>
        <w:tc>
          <w:tcPr>
            <w:tcW w:w="3320" w:type="dxa"/>
            <w:tcBorders>
              <w:top w:val="nil"/>
              <w:left w:val="single" w:sz="4" w:space="0" w:color="auto"/>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Nemčija</w:t>
            </w:r>
          </w:p>
        </w:tc>
        <w:tc>
          <w:tcPr>
            <w:tcW w:w="148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3,00%</w:t>
            </w:r>
          </w:p>
        </w:tc>
        <w:tc>
          <w:tcPr>
            <w:tcW w:w="112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0,70%</w:t>
            </w:r>
          </w:p>
        </w:tc>
        <w:tc>
          <w:tcPr>
            <w:tcW w:w="106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1,70%</w:t>
            </w:r>
          </w:p>
        </w:tc>
        <w:tc>
          <w:tcPr>
            <w:tcW w:w="960" w:type="dxa"/>
            <w:vMerge/>
            <w:tcBorders>
              <w:top w:val="nil"/>
              <w:left w:val="single" w:sz="4" w:space="0" w:color="auto"/>
              <w:bottom w:val="single" w:sz="4" w:space="0" w:color="000000"/>
              <w:right w:val="single" w:sz="4" w:space="0" w:color="auto"/>
            </w:tcBorders>
            <w:vAlign w:val="center"/>
            <w:hideMark/>
          </w:tcPr>
          <w:p w:rsidR="00752290" w:rsidRPr="00752290" w:rsidRDefault="00752290" w:rsidP="00752290">
            <w:pPr>
              <w:spacing w:after="0" w:line="240" w:lineRule="auto"/>
              <w:rPr>
                <w:rFonts w:ascii="Calibri" w:eastAsia="Times New Roman" w:hAnsi="Calibri" w:cs="Calibri"/>
                <w:color w:val="000000"/>
                <w:lang w:eastAsia="sl-SI"/>
              </w:rPr>
            </w:pPr>
          </w:p>
        </w:tc>
      </w:tr>
      <w:tr w:rsidR="00752290" w:rsidRPr="00752290" w:rsidTr="00752290">
        <w:trPr>
          <w:trHeight w:val="300"/>
          <w:jc w:val="center"/>
        </w:trPr>
        <w:tc>
          <w:tcPr>
            <w:tcW w:w="3320" w:type="dxa"/>
            <w:tcBorders>
              <w:top w:val="nil"/>
              <w:left w:val="single" w:sz="4" w:space="0" w:color="auto"/>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Francija</w:t>
            </w:r>
          </w:p>
        </w:tc>
        <w:tc>
          <w:tcPr>
            <w:tcW w:w="148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1,70%</w:t>
            </w:r>
          </w:p>
        </w:tc>
        <w:tc>
          <w:tcPr>
            <w:tcW w:w="112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0,50%</w:t>
            </w:r>
          </w:p>
        </w:tc>
        <w:tc>
          <w:tcPr>
            <w:tcW w:w="106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1,30%</w:t>
            </w:r>
          </w:p>
        </w:tc>
        <w:tc>
          <w:tcPr>
            <w:tcW w:w="960" w:type="dxa"/>
            <w:vMerge/>
            <w:tcBorders>
              <w:top w:val="nil"/>
              <w:left w:val="single" w:sz="4" w:space="0" w:color="auto"/>
              <w:bottom w:val="single" w:sz="4" w:space="0" w:color="000000"/>
              <w:right w:val="single" w:sz="4" w:space="0" w:color="auto"/>
            </w:tcBorders>
            <w:vAlign w:val="center"/>
            <w:hideMark/>
          </w:tcPr>
          <w:p w:rsidR="00752290" w:rsidRPr="00752290" w:rsidRDefault="00752290" w:rsidP="00752290">
            <w:pPr>
              <w:spacing w:after="0" w:line="240" w:lineRule="auto"/>
              <w:rPr>
                <w:rFonts w:ascii="Calibri" w:eastAsia="Times New Roman" w:hAnsi="Calibri" w:cs="Calibri"/>
                <w:color w:val="000000"/>
                <w:lang w:eastAsia="sl-SI"/>
              </w:rPr>
            </w:pPr>
          </w:p>
        </w:tc>
      </w:tr>
      <w:tr w:rsidR="00752290" w:rsidRPr="00752290" w:rsidTr="00752290">
        <w:trPr>
          <w:trHeight w:val="300"/>
          <w:jc w:val="center"/>
        </w:trPr>
        <w:tc>
          <w:tcPr>
            <w:tcW w:w="3320" w:type="dxa"/>
            <w:tcBorders>
              <w:top w:val="nil"/>
              <w:left w:val="single" w:sz="4" w:space="0" w:color="auto"/>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Švedska</w:t>
            </w:r>
          </w:p>
        </w:tc>
        <w:tc>
          <w:tcPr>
            <w:tcW w:w="148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3,90%</w:t>
            </w:r>
          </w:p>
        </w:tc>
        <w:tc>
          <w:tcPr>
            <w:tcW w:w="112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0,30%</w:t>
            </w:r>
          </w:p>
        </w:tc>
        <w:tc>
          <w:tcPr>
            <w:tcW w:w="106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2,10%</w:t>
            </w:r>
          </w:p>
        </w:tc>
        <w:tc>
          <w:tcPr>
            <w:tcW w:w="960" w:type="dxa"/>
            <w:vMerge/>
            <w:tcBorders>
              <w:top w:val="nil"/>
              <w:left w:val="single" w:sz="4" w:space="0" w:color="auto"/>
              <w:bottom w:val="single" w:sz="4" w:space="0" w:color="000000"/>
              <w:right w:val="single" w:sz="4" w:space="0" w:color="auto"/>
            </w:tcBorders>
            <w:vAlign w:val="center"/>
            <w:hideMark/>
          </w:tcPr>
          <w:p w:rsidR="00752290" w:rsidRPr="00752290" w:rsidRDefault="00752290" w:rsidP="00752290">
            <w:pPr>
              <w:spacing w:after="0" w:line="240" w:lineRule="auto"/>
              <w:rPr>
                <w:rFonts w:ascii="Calibri" w:eastAsia="Times New Roman" w:hAnsi="Calibri" w:cs="Calibri"/>
                <w:color w:val="000000"/>
                <w:lang w:eastAsia="sl-SI"/>
              </w:rPr>
            </w:pPr>
          </w:p>
        </w:tc>
      </w:tr>
      <w:tr w:rsidR="00752290" w:rsidRPr="00752290" w:rsidTr="00752290">
        <w:trPr>
          <w:trHeight w:val="300"/>
          <w:jc w:val="center"/>
        </w:trPr>
        <w:tc>
          <w:tcPr>
            <w:tcW w:w="3320" w:type="dxa"/>
            <w:tcBorders>
              <w:top w:val="nil"/>
              <w:left w:val="single" w:sz="4" w:space="0" w:color="auto"/>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Norveška</w:t>
            </w:r>
          </w:p>
        </w:tc>
        <w:tc>
          <w:tcPr>
            <w:tcW w:w="148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1,40%</w:t>
            </w:r>
          </w:p>
        </w:tc>
        <w:tc>
          <w:tcPr>
            <w:tcW w:w="112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1,70%</w:t>
            </w:r>
          </w:p>
        </w:tc>
        <w:tc>
          <w:tcPr>
            <w:tcW w:w="106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2,00%</w:t>
            </w:r>
          </w:p>
        </w:tc>
        <w:tc>
          <w:tcPr>
            <w:tcW w:w="960" w:type="dxa"/>
            <w:vMerge/>
            <w:tcBorders>
              <w:top w:val="nil"/>
              <w:left w:val="single" w:sz="4" w:space="0" w:color="auto"/>
              <w:bottom w:val="single" w:sz="4" w:space="0" w:color="000000"/>
              <w:right w:val="single" w:sz="4" w:space="0" w:color="auto"/>
            </w:tcBorders>
            <w:vAlign w:val="center"/>
            <w:hideMark/>
          </w:tcPr>
          <w:p w:rsidR="00752290" w:rsidRPr="00752290" w:rsidRDefault="00752290" w:rsidP="00752290">
            <w:pPr>
              <w:spacing w:after="0" w:line="240" w:lineRule="auto"/>
              <w:rPr>
                <w:rFonts w:ascii="Calibri" w:eastAsia="Times New Roman" w:hAnsi="Calibri" w:cs="Calibri"/>
                <w:color w:val="000000"/>
                <w:lang w:eastAsia="sl-SI"/>
              </w:rPr>
            </w:pPr>
          </w:p>
        </w:tc>
      </w:tr>
      <w:tr w:rsidR="00752290" w:rsidRPr="00752290" w:rsidTr="00752290">
        <w:trPr>
          <w:trHeight w:val="300"/>
          <w:jc w:val="center"/>
        </w:trPr>
        <w:tc>
          <w:tcPr>
            <w:tcW w:w="3320" w:type="dxa"/>
            <w:tcBorders>
              <w:top w:val="nil"/>
              <w:left w:val="single" w:sz="4" w:space="0" w:color="auto"/>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Finska</w:t>
            </w:r>
          </w:p>
        </w:tc>
        <w:tc>
          <w:tcPr>
            <w:tcW w:w="148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2,90%</w:t>
            </w:r>
          </w:p>
        </w:tc>
        <w:tc>
          <w:tcPr>
            <w:tcW w:w="112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0,80%</w:t>
            </w:r>
          </w:p>
        </w:tc>
        <w:tc>
          <w:tcPr>
            <w:tcW w:w="106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1,60%</w:t>
            </w:r>
          </w:p>
        </w:tc>
        <w:tc>
          <w:tcPr>
            <w:tcW w:w="960" w:type="dxa"/>
            <w:vMerge/>
            <w:tcBorders>
              <w:top w:val="nil"/>
              <w:left w:val="single" w:sz="4" w:space="0" w:color="auto"/>
              <w:bottom w:val="single" w:sz="4" w:space="0" w:color="000000"/>
              <w:right w:val="single" w:sz="4" w:space="0" w:color="auto"/>
            </w:tcBorders>
            <w:vAlign w:val="center"/>
            <w:hideMark/>
          </w:tcPr>
          <w:p w:rsidR="00752290" w:rsidRPr="00752290" w:rsidRDefault="00752290" w:rsidP="00752290">
            <w:pPr>
              <w:spacing w:after="0" w:line="240" w:lineRule="auto"/>
              <w:rPr>
                <w:rFonts w:ascii="Calibri" w:eastAsia="Times New Roman" w:hAnsi="Calibri" w:cs="Calibri"/>
                <w:color w:val="000000"/>
                <w:lang w:eastAsia="sl-SI"/>
              </w:rPr>
            </w:pPr>
          </w:p>
        </w:tc>
      </w:tr>
      <w:tr w:rsidR="00752290" w:rsidRPr="00752290" w:rsidTr="00752290">
        <w:trPr>
          <w:trHeight w:val="300"/>
          <w:jc w:val="center"/>
        </w:trPr>
        <w:tc>
          <w:tcPr>
            <w:tcW w:w="3320" w:type="dxa"/>
            <w:tcBorders>
              <w:top w:val="nil"/>
              <w:left w:val="single" w:sz="4" w:space="0" w:color="auto"/>
              <w:bottom w:val="nil"/>
              <w:right w:val="single" w:sz="4" w:space="0" w:color="auto"/>
            </w:tcBorders>
            <w:shd w:val="clear" w:color="000000" w:fill="E6B8B7"/>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Turčija</w:t>
            </w:r>
          </w:p>
        </w:tc>
        <w:tc>
          <w:tcPr>
            <w:tcW w:w="148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8,50%</w:t>
            </w:r>
          </w:p>
        </w:tc>
        <w:tc>
          <w:tcPr>
            <w:tcW w:w="112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3,30%</w:t>
            </w:r>
          </w:p>
        </w:tc>
        <w:tc>
          <w:tcPr>
            <w:tcW w:w="1060" w:type="dxa"/>
            <w:tcBorders>
              <w:top w:val="nil"/>
              <w:left w:val="nil"/>
              <w:bottom w:val="single" w:sz="4" w:space="0" w:color="auto"/>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4,60%</w:t>
            </w:r>
          </w:p>
        </w:tc>
        <w:tc>
          <w:tcPr>
            <w:tcW w:w="960" w:type="dxa"/>
            <w:vMerge/>
            <w:tcBorders>
              <w:top w:val="nil"/>
              <w:left w:val="single" w:sz="4" w:space="0" w:color="auto"/>
              <w:bottom w:val="single" w:sz="4" w:space="0" w:color="000000"/>
              <w:right w:val="single" w:sz="4" w:space="0" w:color="auto"/>
            </w:tcBorders>
            <w:vAlign w:val="center"/>
            <w:hideMark/>
          </w:tcPr>
          <w:p w:rsidR="00752290" w:rsidRPr="00752290" w:rsidRDefault="00752290" w:rsidP="00752290">
            <w:pPr>
              <w:spacing w:after="0" w:line="240" w:lineRule="auto"/>
              <w:rPr>
                <w:rFonts w:ascii="Calibri" w:eastAsia="Times New Roman" w:hAnsi="Calibri" w:cs="Calibri"/>
                <w:color w:val="000000"/>
                <w:lang w:eastAsia="sl-SI"/>
              </w:rPr>
            </w:pPr>
          </w:p>
        </w:tc>
      </w:tr>
      <w:tr w:rsidR="00752290" w:rsidRPr="00752290" w:rsidTr="00752290">
        <w:trPr>
          <w:trHeight w:val="300"/>
          <w:jc w:val="center"/>
        </w:trPr>
        <w:tc>
          <w:tcPr>
            <w:tcW w:w="3320" w:type="dxa"/>
            <w:tcBorders>
              <w:top w:val="single" w:sz="4" w:space="0" w:color="auto"/>
              <w:left w:val="single" w:sz="4" w:space="0" w:color="auto"/>
              <w:bottom w:val="single" w:sz="4" w:space="0" w:color="auto"/>
              <w:right w:val="nil"/>
            </w:tcBorders>
            <w:shd w:val="clear" w:color="000000" w:fill="C0504D"/>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c>
          <w:tcPr>
            <w:tcW w:w="1480" w:type="dxa"/>
            <w:tcBorders>
              <w:top w:val="single" w:sz="4" w:space="0" w:color="auto"/>
              <w:left w:val="nil"/>
              <w:bottom w:val="single" w:sz="4" w:space="0" w:color="auto"/>
              <w:right w:val="nil"/>
            </w:tcBorders>
            <w:shd w:val="clear" w:color="000000" w:fill="C0504D"/>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c>
          <w:tcPr>
            <w:tcW w:w="1120" w:type="dxa"/>
            <w:tcBorders>
              <w:top w:val="single" w:sz="4" w:space="0" w:color="auto"/>
              <w:left w:val="nil"/>
              <w:bottom w:val="single" w:sz="4" w:space="0" w:color="auto"/>
              <w:right w:val="nil"/>
            </w:tcBorders>
            <w:shd w:val="clear" w:color="000000" w:fill="C0504D"/>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c>
          <w:tcPr>
            <w:tcW w:w="1060" w:type="dxa"/>
            <w:tcBorders>
              <w:top w:val="nil"/>
              <w:left w:val="nil"/>
              <w:bottom w:val="single" w:sz="4" w:space="0" w:color="auto"/>
              <w:right w:val="nil"/>
            </w:tcBorders>
            <w:shd w:val="clear" w:color="000000" w:fill="C0504D"/>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c>
          <w:tcPr>
            <w:tcW w:w="960" w:type="dxa"/>
            <w:tcBorders>
              <w:top w:val="nil"/>
              <w:left w:val="nil"/>
              <w:bottom w:val="single" w:sz="4" w:space="0" w:color="auto"/>
              <w:right w:val="single" w:sz="4" w:space="0" w:color="auto"/>
            </w:tcBorders>
            <w:shd w:val="clear" w:color="000000" w:fill="C0504D"/>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r>
      <w:tr w:rsidR="00752290" w:rsidRPr="00752290" w:rsidTr="00752290">
        <w:trPr>
          <w:trHeight w:val="300"/>
          <w:jc w:val="center"/>
        </w:trPr>
        <w:tc>
          <w:tcPr>
            <w:tcW w:w="3320" w:type="dxa"/>
            <w:tcBorders>
              <w:top w:val="nil"/>
              <w:left w:val="single" w:sz="4" w:space="0" w:color="auto"/>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c>
          <w:tcPr>
            <w:tcW w:w="1480" w:type="dxa"/>
            <w:tcBorders>
              <w:top w:val="nil"/>
              <w:left w:val="nil"/>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2007</w:t>
            </w:r>
          </w:p>
        </w:tc>
        <w:tc>
          <w:tcPr>
            <w:tcW w:w="1120" w:type="dxa"/>
            <w:tcBorders>
              <w:top w:val="nil"/>
              <w:left w:val="nil"/>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2008</w:t>
            </w:r>
          </w:p>
        </w:tc>
        <w:tc>
          <w:tcPr>
            <w:tcW w:w="1060" w:type="dxa"/>
            <w:tcBorders>
              <w:top w:val="nil"/>
              <w:left w:val="nil"/>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2009</w:t>
            </w:r>
          </w:p>
        </w:tc>
        <w:tc>
          <w:tcPr>
            <w:tcW w:w="960" w:type="dxa"/>
            <w:tcBorders>
              <w:top w:val="nil"/>
              <w:left w:val="nil"/>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2010</w:t>
            </w:r>
          </w:p>
        </w:tc>
      </w:tr>
      <w:tr w:rsidR="00752290" w:rsidRPr="00752290" w:rsidTr="00752290">
        <w:trPr>
          <w:trHeight w:val="300"/>
          <w:jc w:val="center"/>
        </w:trPr>
        <w:tc>
          <w:tcPr>
            <w:tcW w:w="3320" w:type="dxa"/>
            <w:tcBorders>
              <w:top w:val="nil"/>
              <w:left w:val="single" w:sz="4" w:space="0" w:color="auto"/>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g = ROE*zadržan dobiček</w:t>
            </w:r>
          </w:p>
        </w:tc>
        <w:tc>
          <w:tcPr>
            <w:tcW w:w="1480" w:type="dxa"/>
            <w:tcBorders>
              <w:top w:val="nil"/>
              <w:left w:val="nil"/>
              <w:bottom w:val="single" w:sz="4" w:space="0" w:color="auto"/>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6,83%</w:t>
            </w:r>
          </w:p>
        </w:tc>
        <w:tc>
          <w:tcPr>
            <w:tcW w:w="1120" w:type="dxa"/>
            <w:tcBorders>
              <w:top w:val="nil"/>
              <w:left w:val="nil"/>
              <w:bottom w:val="single" w:sz="4" w:space="0" w:color="auto"/>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-0,56%</w:t>
            </w:r>
          </w:p>
        </w:tc>
        <w:tc>
          <w:tcPr>
            <w:tcW w:w="1060" w:type="dxa"/>
            <w:tcBorders>
              <w:top w:val="nil"/>
              <w:left w:val="nil"/>
              <w:bottom w:val="single" w:sz="4" w:space="0" w:color="auto"/>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-2,56%</w:t>
            </w:r>
          </w:p>
        </w:tc>
        <w:tc>
          <w:tcPr>
            <w:tcW w:w="960" w:type="dxa"/>
            <w:tcBorders>
              <w:top w:val="nil"/>
              <w:left w:val="nil"/>
              <w:bottom w:val="single" w:sz="4" w:space="0" w:color="auto"/>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b/>
                <w:bCs/>
                <w:color w:val="000000"/>
                <w:lang w:eastAsia="sl-SI"/>
              </w:rPr>
            </w:pPr>
            <w:r w:rsidRPr="00752290">
              <w:rPr>
                <w:rFonts w:ascii="Calibri" w:eastAsia="Times New Roman" w:hAnsi="Calibri" w:cs="Calibri"/>
                <w:b/>
                <w:bCs/>
                <w:color w:val="000000"/>
                <w:lang w:eastAsia="sl-SI"/>
              </w:rPr>
              <w:t>2,43%</w:t>
            </w:r>
          </w:p>
        </w:tc>
      </w:tr>
      <w:tr w:rsidR="00752290" w:rsidRPr="00752290" w:rsidTr="00752290">
        <w:trPr>
          <w:trHeight w:val="300"/>
          <w:jc w:val="center"/>
        </w:trPr>
        <w:tc>
          <w:tcPr>
            <w:tcW w:w="3320" w:type="dxa"/>
            <w:tcBorders>
              <w:top w:val="nil"/>
              <w:left w:val="single" w:sz="4" w:space="0" w:color="auto"/>
              <w:bottom w:val="single" w:sz="4" w:space="0" w:color="auto"/>
              <w:right w:val="nil"/>
            </w:tcBorders>
            <w:shd w:val="clear" w:color="000000" w:fill="C0504D"/>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c>
          <w:tcPr>
            <w:tcW w:w="1480" w:type="dxa"/>
            <w:tcBorders>
              <w:top w:val="nil"/>
              <w:left w:val="nil"/>
              <w:bottom w:val="single" w:sz="4" w:space="0" w:color="auto"/>
              <w:right w:val="nil"/>
            </w:tcBorders>
            <w:shd w:val="clear" w:color="000000" w:fill="C0504D"/>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c>
          <w:tcPr>
            <w:tcW w:w="1120" w:type="dxa"/>
            <w:tcBorders>
              <w:top w:val="nil"/>
              <w:left w:val="nil"/>
              <w:bottom w:val="single" w:sz="4" w:space="0" w:color="auto"/>
              <w:right w:val="nil"/>
            </w:tcBorders>
            <w:shd w:val="clear" w:color="000000" w:fill="C0504D"/>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c>
          <w:tcPr>
            <w:tcW w:w="1060" w:type="dxa"/>
            <w:tcBorders>
              <w:top w:val="nil"/>
              <w:left w:val="nil"/>
              <w:bottom w:val="single" w:sz="4" w:space="0" w:color="auto"/>
              <w:right w:val="nil"/>
            </w:tcBorders>
            <w:shd w:val="clear" w:color="000000" w:fill="C0504D"/>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c>
          <w:tcPr>
            <w:tcW w:w="960" w:type="dxa"/>
            <w:tcBorders>
              <w:top w:val="nil"/>
              <w:left w:val="nil"/>
              <w:bottom w:val="single" w:sz="4" w:space="0" w:color="auto"/>
              <w:right w:val="single" w:sz="4" w:space="0" w:color="auto"/>
            </w:tcBorders>
            <w:shd w:val="clear" w:color="000000" w:fill="C0504D"/>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r>
      <w:tr w:rsidR="00752290" w:rsidRPr="00752290" w:rsidTr="00752290">
        <w:trPr>
          <w:trHeight w:val="300"/>
          <w:jc w:val="center"/>
        </w:trPr>
        <w:tc>
          <w:tcPr>
            <w:tcW w:w="3320" w:type="dxa"/>
            <w:tcBorders>
              <w:top w:val="nil"/>
              <w:left w:val="single" w:sz="4" w:space="0" w:color="auto"/>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c>
          <w:tcPr>
            <w:tcW w:w="1480" w:type="dxa"/>
            <w:tcBorders>
              <w:top w:val="nil"/>
              <w:left w:val="nil"/>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proofErr w:type="spellStart"/>
            <w:r w:rsidRPr="00752290">
              <w:rPr>
                <w:rFonts w:ascii="Calibri" w:eastAsia="Times New Roman" w:hAnsi="Calibri" w:cs="Calibri"/>
                <w:color w:val="000000"/>
                <w:lang w:eastAsia="sl-SI"/>
              </w:rPr>
              <w:t>Entertainment</w:t>
            </w:r>
            <w:proofErr w:type="spellEnd"/>
          </w:p>
        </w:tc>
        <w:tc>
          <w:tcPr>
            <w:tcW w:w="1120" w:type="dxa"/>
            <w:tcBorders>
              <w:top w:val="nil"/>
              <w:left w:val="nil"/>
              <w:bottom w:val="single" w:sz="4" w:space="0" w:color="auto"/>
              <w:right w:val="nil"/>
            </w:tcBorders>
            <w:shd w:val="clear" w:color="000000" w:fill="E6B8B7"/>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proofErr w:type="spellStart"/>
            <w:r w:rsidRPr="00752290">
              <w:rPr>
                <w:rFonts w:ascii="Calibri" w:eastAsia="Times New Roman" w:hAnsi="Calibri" w:cs="Calibri"/>
                <w:color w:val="000000"/>
                <w:lang w:eastAsia="sl-SI"/>
              </w:rPr>
              <w:t>Recreation</w:t>
            </w:r>
            <w:proofErr w:type="spellEnd"/>
          </w:p>
        </w:tc>
        <w:tc>
          <w:tcPr>
            <w:tcW w:w="2020" w:type="dxa"/>
            <w:gridSpan w:val="2"/>
            <w:tcBorders>
              <w:top w:val="single" w:sz="4" w:space="0" w:color="auto"/>
              <w:left w:val="single" w:sz="4" w:space="0" w:color="auto"/>
              <w:bottom w:val="single" w:sz="4" w:space="0" w:color="auto"/>
              <w:right w:val="single" w:sz="4" w:space="0" w:color="000000"/>
              <w:tr2bl w:val="single" w:sz="4" w:space="0" w:color="auto"/>
            </w:tcBorders>
            <w:shd w:val="clear" w:color="000000" w:fill="E6B8B7"/>
            <w:noWrap/>
            <w:vAlign w:val="bottom"/>
            <w:hideMark/>
          </w:tcPr>
          <w:p w:rsidR="00752290" w:rsidRPr="00752290" w:rsidRDefault="00752290" w:rsidP="00752290">
            <w:pPr>
              <w:spacing w:after="0" w:line="240" w:lineRule="auto"/>
              <w:jc w:val="center"/>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r>
      <w:tr w:rsidR="00752290" w:rsidRPr="00752290" w:rsidTr="00752290">
        <w:trPr>
          <w:trHeight w:val="300"/>
          <w:jc w:val="center"/>
        </w:trPr>
        <w:tc>
          <w:tcPr>
            <w:tcW w:w="3320" w:type="dxa"/>
            <w:tcBorders>
              <w:top w:val="nil"/>
              <w:left w:val="single" w:sz="4" w:space="0" w:color="auto"/>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napovedana rast v EPS</w:t>
            </w:r>
          </w:p>
        </w:tc>
        <w:tc>
          <w:tcPr>
            <w:tcW w:w="148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b/>
                <w:color w:val="000000"/>
                <w:lang w:eastAsia="sl-SI"/>
              </w:rPr>
            </w:pPr>
            <w:r w:rsidRPr="00752290">
              <w:rPr>
                <w:rFonts w:ascii="Calibri" w:eastAsia="Times New Roman" w:hAnsi="Calibri" w:cs="Calibri"/>
                <w:b/>
                <w:color w:val="000000"/>
                <w:lang w:eastAsia="sl-SI"/>
              </w:rPr>
              <w:t>7,10%</w:t>
            </w:r>
          </w:p>
        </w:tc>
        <w:tc>
          <w:tcPr>
            <w:tcW w:w="1120" w:type="dxa"/>
            <w:tcBorders>
              <w:top w:val="nil"/>
              <w:left w:val="nil"/>
              <w:bottom w:val="nil"/>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b/>
                <w:color w:val="000000"/>
                <w:lang w:eastAsia="sl-SI"/>
              </w:rPr>
            </w:pPr>
            <w:r w:rsidRPr="00752290">
              <w:rPr>
                <w:rFonts w:ascii="Calibri" w:eastAsia="Times New Roman" w:hAnsi="Calibri" w:cs="Calibri"/>
                <w:b/>
                <w:color w:val="000000"/>
                <w:lang w:eastAsia="sl-SI"/>
              </w:rPr>
              <w:t>5,42%</w:t>
            </w:r>
          </w:p>
        </w:tc>
        <w:tc>
          <w:tcPr>
            <w:tcW w:w="2020" w:type="dxa"/>
            <w:gridSpan w:val="2"/>
            <w:vMerge w:val="restart"/>
            <w:tcBorders>
              <w:top w:val="single" w:sz="4" w:space="0" w:color="auto"/>
              <w:left w:val="single" w:sz="4" w:space="0" w:color="auto"/>
              <w:bottom w:val="single" w:sz="4" w:space="0" w:color="000000"/>
              <w:right w:val="single" w:sz="4" w:space="0" w:color="000000"/>
              <w:tr2bl w:val="single" w:sz="4" w:space="0" w:color="auto"/>
            </w:tcBorders>
            <w:shd w:val="clear" w:color="auto" w:fill="auto"/>
            <w:noWrap/>
            <w:vAlign w:val="bottom"/>
            <w:hideMark/>
          </w:tcPr>
          <w:p w:rsidR="00752290" w:rsidRPr="00752290" w:rsidRDefault="00752290" w:rsidP="00752290">
            <w:pPr>
              <w:spacing w:after="0" w:line="240" w:lineRule="auto"/>
              <w:jc w:val="center"/>
              <w:rPr>
                <w:rFonts w:ascii="Calibri" w:eastAsia="Times New Roman" w:hAnsi="Calibri" w:cs="Calibri"/>
                <w:color w:val="000000"/>
                <w:lang w:eastAsia="sl-SI"/>
              </w:rPr>
            </w:pPr>
            <w:r w:rsidRPr="00752290">
              <w:rPr>
                <w:rFonts w:ascii="Calibri" w:eastAsia="Times New Roman" w:hAnsi="Calibri" w:cs="Calibri"/>
                <w:color w:val="000000"/>
                <w:lang w:eastAsia="sl-SI"/>
              </w:rPr>
              <w:t> </w:t>
            </w:r>
          </w:p>
        </w:tc>
      </w:tr>
      <w:tr w:rsidR="00752290" w:rsidRPr="00752290" w:rsidTr="00752290">
        <w:trPr>
          <w:trHeight w:val="300"/>
          <w:jc w:val="center"/>
        </w:trPr>
        <w:tc>
          <w:tcPr>
            <w:tcW w:w="3320" w:type="dxa"/>
            <w:tcBorders>
              <w:top w:val="nil"/>
              <w:left w:val="single" w:sz="4" w:space="0" w:color="auto"/>
              <w:bottom w:val="single" w:sz="4" w:space="0" w:color="auto"/>
              <w:right w:val="single" w:sz="4" w:space="0" w:color="auto"/>
            </w:tcBorders>
            <w:shd w:val="clear" w:color="000000" w:fill="E6B8B7"/>
            <w:noWrap/>
            <w:vAlign w:val="bottom"/>
            <w:hideMark/>
          </w:tcPr>
          <w:p w:rsidR="00752290" w:rsidRPr="00752290" w:rsidRDefault="00752290" w:rsidP="00752290">
            <w:pPr>
              <w:spacing w:after="0" w:line="240" w:lineRule="auto"/>
              <w:rPr>
                <w:rFonts w:ascii="Calibri" w:eastAsia="Times New Roman" w:hAnsi="Calibri" w:cs="Calibri"/>
                <w:color w:val="000000"/>
                <w:lang w:eastAsia="sl-SI"/>
              </w:rPr>
            </w:pPr>
            <w:r w:rsidRPr="00752290">
              <w:rPr>
                <w:rFonts w:ascii="Calibri" w:eastAsia="Times New Roman" w:hAnsi="Calibri" w:cs="Calibri"/>
                <w:color w:val="000000"/>
                <w:lang w:eastAsia="sl-SI"/>
              </w:rPr>
              <w:t xml:space="preserve">zgodovinska rast EPS - </w:t>
            </w:r>
            <w:proofErr w:type="spellStart"/>
            <w:r w:rsidRPr="00752290">
              <w:rPr>
                <w:rFonts w:ascii="Calibri" w:eastAsia="Times New Roman" w:hAnsi="Calibri" w:cs="Calibri"/>
                <w:color w:val="000000"/>
                <w:lang w:eastAsia="sl-SI"/>
              </w:rPr>
              <w:t>Damodaran</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b/>
                <w:bCs/>
                <w:color w:val="000000"/>
                <w:lang w:eastAsia="sl-SI"/>
              </w:rPr>
            </w:pPr>
            <w:r w:rsidRPr="00752290">
              <w:rPr>
                <w:rFonts w:ascii="Calibri" w:eastAsia="Times New Roman" w:hAnsi="Calibri" w:cs="Calibri"/>
                <w:b/>
                <w:bCs/>
                <w:color w:val="000000"/>
                <w:lang w:eastAsia="sl-SI"/>
              </w:rPr>
              <w:t>2,55%</w:t>
            </w:r>
          </w:p>
        </w:tc>
        <w:tc>
          <w:tcPr>
            <w:tcW w:w="1120" w:type="dxa"/>
            <w:tcBorders>
              <w:top w:val="nil"/>
              <w:left w:val="nil"/>
              <w:bottom w:val="single" w:sz="4" w:space="0" w:color="auto"/>
              <w:right w:val="single" w:sz="4" w:space="0" w:color="auto"/>
            </w:tcBorders>
            <w:shd w:val="clear" w:color="auto" w:fill="auto"/>
            <w:noWrap/>
            <w:vAlign w:val="bottom"/>
            <w:hideMark/>
          </w:tcPr>
          <w:p w:rsidR="00752290" w:rsidRPr="00752290" w:rsidRDefault="00752290" w:rsidP="00752290">
            <w:pPr>
              <w:spacing w:after="0" w:line="240" w:lineRule="auto"/>
              <w:jc w:val="right"/>
              <w:rPr>
                <w:rFonts w:ascii="Calibri" w:eastAsia="Times New Roman" w:hAnsi="Calibri" w:cs="Calibri"/>
                <w:color w:val="000000"/>
                <w:lang w:eastAsia="sl-SI"/>
              </w:rPr>
            </w:pPr>
            <w:r w:rsidRPr="00752290">
              <w:rPr>
                <w:rFonts w:ascii="Calibri" w:eastAsia="Times New Roman" w:hAnsi="Calibri" w:cs="Calibri"/>
                <w:color w:val="000000"/>
                <w:lang w:eastAsia="sl-SI"/>
              </w:rPr>
              <w:t>-2,12%</w:t>
            </w:r>
          </w:p>
        </w:tc>
        <w:tc>
          <w:tcPr>
            <w:tcW w:w="2020" w:type="dxa"/>
            <w:gridSpan w:val="2"/>
            <w:vMerge/>
            <w:tcBorders>
              <w:top w:val="nil"/>
              <w:left w:val="nil"/>
              <w:bottom w:val="single" w:sz="4" w:space="0" w:color="auto"/>
              <w:right w:val="single" w:sz="4" w:space="0" w:color="auto"/>
            </w:tcBorders>
            <w:vAlign w:val="center"/>
            <w:hideMark/>
          </w:tcPr>
          <w:p w:rsidR="00752290" w:rsidRPr="00752290" w:rsidRDefault="00752290" w:rsidP="00752290">
            <w:pPr>
              <w:spacing w:after="0" w:line="240" w:lineRule="auto"/>
              <w:rPr>
                <w:rFonts w:ascii="Calibri" w:eastAsia="Times New Roman" w:hAnsi="Calibri" w:cs="Calibri"/>
                <w:color w:val="000000"/>
                <w:lang w:eastAsia="sl-SI"/>
              </w:rPr>
            </w:pPr>
          </w:p>
        </w:tc>
      </w:tr>
    </w:tbl>
    <w:p w:rsidR="005C5326" w:rsidRDefault="005C5326" w:rsidP="004E4AF0">
      <w:pPr>
        <w:spacing w:line="360" w:lineRule="auto"/>
        <w:jc w:val="both"/>
        <w:rPr>
          <w:rFonts w:eastAsiaTheme="minorEastAsia"/>
          <w:sz w:val="24"/>
        </w:rPr>
      </w:pPr>
    </w:p>
    <w:p w:rsidR="004E4AF0" w:rsidRPr="001A67DA" w:rsidRDefault="005C5326" w:rsidP="002F04D4">
      <w:pPr>
        <w:spacing w:line="360" w:lineRule="auto"/>
        <w:jc w:val="both"/>
        <w:rPr>
          <w:rFonts w:ascii="Times New Roman" w:hAnsi="Times New Roman" w:cs="Times New Roman"/>
          <w:sz w:val="24"/>
        </w:rPr>
      </w:pPr>
      <w:r>
        <w:rPr>
          <w:rFonts w:eastAsiaTheme="minorEastAsia"/>
          <w:sz w:val="24"/>
        </w:rPr>
        <w:t xml:space="preserve"> </w:t>
      </w:r>
      <w:r w:rsidR="004E4AF0" w:rsidRPr="001A67DA">
        <w:rPr>
          <w:rFonts w:ascii="Times New Roman" w:hAnsi="Times New Roman" w:cs="Times New Roman"/>
          <w:sz w:val="24"/>
        </w:rPr>
        <w:t>Večje stopnje</w:t>
      </w:r>
      <w:r w:rsidR="00752290" w:rsidRPr="001A67DA">
        <w:rPr>
          <w:rFonts w:ascii="Times New Roman" w:hAnsi="Times New Roman" w:cs="Times New Roman"/>
          <w:sz w:val="24"/>
        </w:rPr>
        <w:t xml:space="preserve"> kot 3%</w:t>
      </w:r>
      <w:r w:rsidR="004E4AF0" w:rsidRPr="001A67DA">
        <w:rPr>
          <w:rFonts w:ascii="Times New Roman" w:hAnsi="Times New Roman" w:cs="Times New Roman"/>
          <w:sz w:val="24"/>
        </w:rPr>
        <w:t xml:space="preserve"> si nismo upali vzeti, ker obstajajo določena gibanja, ki hkrati vzbujajo določene negotovosti. Eno izmed njih izpostavljajo v letnem poročilu 2010 in sicer demografska gibanja in stopnja potrošniškega zaupanja ciljnega segmenta potrošnikov nad 50 let. Demografska gibanja so sicer pozitivna, vendar bo potrošniško zaupanje odvisno predvsem od izvedenih pokojninskih reform, ki pa bodo na srečo družbe najbolj drastične le na južnem delu Evrope in nekaterih drugih državah, ki imajo probleme z javnimi financami – Italija, Španija, Portugalska, itd. Bolj natančno bi te spremembe pomenile odložene nakupne odločitve, zaradi podaljševanja delovne dobe, kar bi imelo negativen učinek na povpraševanje. Ker gre za luksuzno dobrino, negotovost povzroča tudi razpoložljivost bančnih kreditov in višina obrestne mere, kar bi se počasi načeloma moralo izboljševati, velik problem pa lahko povzročijo </w:t>
      </w:r>
      <w:r w:rsidR="00BF69FC" w:rsidRPr="001A67DA">
        <w:rPr>
          <w:rFonts w:ascii="Times New Roman" w:hAnsi="Times New Roman" w:cs="Times New Roman"/>
          <w:sz w:val="24"/>
        </w:rPr>
        <w:t>naraščajoče</w:t>
      </w:r>
      <w:r w:rsidR="004E4AF0" w:rsidRPr="001A67DA">
        <w:rPr>
          <w:rFonts w:ascii="Times New Roman" w:hAnsi="Times New Roman" w:cs="Times New Roman"/>
          <w:sz w:val="24"/>
        </w:rPr>
        <w:t xml:space="preserve"> cene goriva. Obstajajo tudi večji trendi, ki bodo panogo nekako ohranjali v rasti. Prvi je, da bodo počitniške prikolice in avtodomi postali vse bolj zanimivi produkti za družine kot alternativno preživljanje letnega dopusta in prostega časa namesto </w:t>
      </w:r>
      <w:r w:rsidR="00BF69FC" w:rsidRPr="001A67DA">
        <w:rPr>
          <w:rFonts w:ascii="Times New Roman" w:hAnsi="Times New Roman" w:cs="Times New Roman"/>
          <w:sz w:val="24"/>
        </w:rPr>
        <w:t>dopustovanja</w:t>
      </w:r>
      <w:r w:rsidR="004E4AF0" w:rsidRPr="001A67DA">
        <w:rPr>
          <w:rFonts w:ascii="Times New Roman" w:hAnsi="Times New Roman" w:cs="Times New Roman"/>
          <w:sz w:val="24"/>
        </w:rPr>
        <w:t xml:space="preserve"> na dražjih </w:t>
      </w:r>
      <w:proofErr w:type="spellStart"/>
      <w:r w:rsidR="004E4AF0" w:rsidRPr="001A67DA">
        <w:rPr>
          <w:rFonts w:ascii="Times New Roman" w:hAnsi="Times New Roman" w:cs="Times New Roman"/>
          <w:sz w:val="24"/>
        </w:rPr>
        <w:t>destinacijah</w:t>
      </w:r>
      <w:proofErr w:type="spellEnd"/>
      <w:r w:rsidR="004E4AF0" w:rsidRPr="001A67DA">
        <w:rPr>
          <w:rFonts w:ascii="Times New Roman" w:hAnsi="Times New Roman" w:cs="Times New Roman"/>
          <w:sz w:val="24"/>
        </w:rPr>
        <w:t xml:space="preserve">. Cena avtodomov in prikolic se dolgoročno </w:t>
      </w:r>
      <w:r w:rsidR="004E4AF0" w:rsidRPr="001A67DA">
        <w:rPr>
          <w:rFonts w:ascii="Times New Roman" w:hAnsi="Times New Roman" w:cs="Times New Roman"/>
          <w:sz w:val="24"/>
        </w:rPr>
        <w:lastRenderedPageBreak/>
        <w:t xml:space="preserve">gledano vse bolj zmanjšuje. Drugi trend je sprememba vrednot družbe, ki </w:t>
      </w:r>
      <w:proofErr w:type="spellStart"/>
      <w:r w:rsidR="004E4AF0" w:rsidRPr="001A67DA">
        <w:rPr>
          <w:rFonts w:ascii="Times New Roman" w:hAnsi="Times New Roman" w:cs="Times New Roman"/>
          <w:sz w:val="24"/>
        </w:rPr>
        <w:t>rezultirajo</w:t>
      </w:r>
      <w:proofErr w:type="spellEnd"/>
      <w:r w:rsidR="004E4AF0" w:rsidRPr="001A67DA">
        <w:rPr>
          <w:rFonts w:ascii="Times New Roman" w:hAnsi="Times New Roman" w:cs="Times New Roman"/>
          <w:sz w:val="24"/>
        </w:rPr>
        <w:t xml:space="preserve"> v večji ozaveščenosti o pomembnosti naravi in tudi </w:t>
      </w:r>
      <w:r w:rsidR="00BF69FC" w:rsidRPr="001A67DA">
        <w:rPr>
          <w:rFonts w:ascii="Times New Roman" w:hAnsi="Times New Roman" w:cs="Times New Roman"/>
          <w:sz w:val="24"/>
        </w:rPr>
        <w:t>hrepenenju</w:t>
      </w:r>
      <w:r w:rsidR="004E4AF0" w:rsidRPr="001A67DA">
        <w:rPr>
          <w:rFonts w:ascii="Times New Roman" w:hAnsi="Times New Roman" w:cs="Times New Roman"/>
          <w:sz w:val="24"/>
        </w:rPr>
        <w:t xml:space="preserve"> po njej, in povzročajo večje število oblik potovanj, kot je </w:t>
      </w:r>
      <w:proofErr w:type="spellStart"/>
      <w:r w:rsidR="004E4AF0" w:rsidRPr="001A67DA">
        <w:rPr>
          <w:rFonts w:ascii="Times New Roman" w:hAnsi="Times New Roman" w:cs="Times New Roman"/>
          <w:sz w:val="24"/>
        </w:rPr>
        <w:t>karavaning</w:t>
      </w:r>
      <w:proofErr w:type="spellEnd"/>
      <w:r w:rsidR="004E4AF0" w:rsidRPr="001A67DA">
        <w:rPr>
          <w:rFonts w:ascii="Times New Roman" w:hAnsi="Times New Roman" w:cs="Times New Roman"/>
          <w:sz w:val="24"/>
        </w:rPr>
        <w:t>, ki približajo ljudi naravi. Tretji je vsa večja želja ljudi po svobodnem in neodvisnem, fleksibilnem počitnikovanjem, katerega lahko načrtujemo individualno. Potrebno je omeniti tudi, da je največji trg vozil za prosti čas – Severna Amerika, že v letu 2010 zabeležil kar 49,6% porast prodaj teh vozil, rast pa se pričakuje tudi v prihodnje. Tudi prodaja na tretjem največjem trgu, Avstraliji, se je povečala za 27,2%. Evropa v letu 2011 počasi sledi temu trendu, tako da so pozitivne spremembe vsekakor možne.</w:t>
      </w:r>
    </w:p>
    <w:p w:rsidR="003C7586" w:rsidRDefault="00375659" w:rsidP="00AD6EDE">
      <w:pPr>
        <w:pStyle w:val="Heading2"/>
        <w:numPr>
          <w:ilvl w:val="1"/>
          <w:numId w:val="4"/>
        </w:numPr>
        <w:spacing w:before="0" w:after="120"/>
      </w:pPr>
      <w:bookmarkStart w:id="16" w:name="_Toc327382752"/>
      <w:r>
        <w:t>STROŠEK KAPITALA</w:t>
      </w:r>
      <w:r w:rsidR="000502E1" w:rsidRPr="000502E1">
        <w:t xml:space="preserve"> WACC</w:t>
      </w:r>
      <w:bookmarkEnd w:id="16"/>
    </w:p>
    <w:p w:rsidR="000502E1" w:rsidRPr="001A67DA" w:rsidRDefault="001B75E2" w:rsidP="002F04D4">
      <w:pPr>
        <w:spacing w:line="360" w:lineRule="auto"/>
        <w:jc w:val="both"/>
        <w:rPr>
          <w:rFonts w:ascii="Times New Roman" w:hAnsi="Times New Roman" w:cs="Times New Roman"/>
          <w:sz w:val="24"/>
        </w:rPr>
      </w:pPr>
      <w:r w:rsidRPr="001A67DA">
        <w:rPr>
          <w:rFonts w:ascii="Times New Roman" w:hAnsi="Times New Roman" w:cs="Times New Roman"/>
          <w:sz w:val="24"/>
        </w:rPr>
        <w:t>Strošek celotnega kapitala oziroma diskontno stopnjo, s katero</w:t>
      </w:r>
      <w:r w:rsidR="00BF69FC" w:rsidRPr="001A67DA">
        <w:rPr>
          <w:rFonts w:ascii="Times New Roman" w:hAnsi="Times New Roman" w:cs="Times New Roman"/>
          <w:sz w:val="24"/>
        </w:rPr>
        <w:t xml:space="preserve"> računamo</w:t>
      </w:r>
      <w:r w:rsidRPr="001A67DA">
        <w:rPr>
          <w:rFonts w:ascii="Times New Roman" w:hAnsi="Times New Roman" w:cs="Times New Roman"/>
          <w:sz w:val="24"/>
        </w:rPr>
        <w:t xml:space="preserve"> sedanjo vrednost prihodnjih denarnih tokov, izračunavamo iz ponderiranega stroška lastniškega in dolžniškega kapitala. Najprej bomo opredelili izračun dolžniškega kapitala nato pa lastniškega, saj je pri slednjem več variabilnih postavk.</w:t>
      </w:r>
    </w:p>
    <w:p w:rsidR="001B75E2" w:rsidRPr="00A33770" w:rsidRDefault="0049315A" w:rsidP="00AD6EDE">
      <w:pPr>
        <w:pStyle w:val="Heading3"/>
        <w:numPr>
          <w:ilvl w:val="2"/>
          <w:numId w:val="4"/>
        </w:numPr>
        <w:spacing w:before="0" w:after="120"/>
        <w:rPr>
          <w:sz w:val="24"/>
        </w:rPr>
      </w:pPr>
      <w:bookmarkStart w:id="17" w:name="_Toc327382753"/>
      <w:r w:rsidRPr="00A33770">
        <w:rPr>
          <w:sz w:val="24"/>
        </w:rPr>
        <w:t>Strošek dolžniškega kapitala</w:t>
      </w:r>
      <w:bookmarkEnd w:id="17"/>
    </w:p>
    <w:p w:rsidR="006A2FAA" w:rsidRPr="001A67DA" w:rsidRDefault="00176ACA" w:rsidP="002F04D4">
      <w:pPr>
        <w:spacing w:line="360" w:lineRule="auto"/>
        <w:jc w:val="both"/>
        <w:rPr>
          <w:rFonts w:ascii="Times New Roman" w:eastAsiaTheme="minorEastAsia" w:hAnsi="Times New Roman" w:cs="Times New Roman"/>
          <w:sz w:val="24"/>
        </w:rPr>
      </w:pPr>
      <w:r w:rsidRPr="001A67DA">
        <w:rPr>
          <w:rFonts w:ascii="Times New Roman" w:hAnsi="Times New Roman" w:cs="Times New Roman"/>
          <w:sz w:val="24"/>
        </w:rPr>
        <w:t>Gre za strošek dolga po davkih in se ga izračuna razmerje med plačanimi obresti in povprečnim stanjem dolgoročnih in kratkoročnih posojil. Dobljeno povprečno obrestno mero pomnožimo z 1-t</w:t>
      </w:r>
      <w:r w:rsidR="00376665" w:rsidRPr="001A67DA">
        <w:rPr>
          <w:rFonts w:ascii="Times New Roman" w:hAnsi="Times New Roman" w:cs="Times New Roman"/>
          <w:sz w:val="24"/>
        </w:rPr>
        <w:t xml:space="preserve"> (davčni ščit)</w:t>
      </w:r>
      <w:r w:rsidRPr="001A67DA">
        <w:rPr>
          <w:rFonts w:ascii="Times New Roman" w:hAnsi="Times New Roman" w:cs="Times New Roman"/>
          <w:sz w:val="24"/>
        </w:rPr>
        <w:t xml:space="preserve">, kjer t predstavlja efektivno davčno stopnjo. Tako na koncu ugotovimo koliko dolžniško financiranje stane SAM. </w:t>
      </w:r>
      <w:r w:rsidR="00B37D7F" w:rsidRPr="001A67DA">
        <w:rPr>
          <w:rFonts w:ascii="Times New Roman" w:hAnsi="Times New Roman" w:cs="Times New Roman"/>
          <w:sz w:val="24"/>
        </w:rPr>
        <w:t xml:space="preserve">Vsi podatki so dobljeni iz računovodskih izkazov v letnih poročilih za leto 2010 in 2009. </w:t>
      </w:r>
      <w:r w:rsidRPr="001A67DA">
        <w:rPr>
          <w:rFonts w:ascii="Times New Roman" w:hAnsi="Times New Roman" w:cs="Times New Roman"/>
          <w:sz w:val="24"/>
        </w:rPr>
        <w:t>Iz konsolidiranega izkaza poslovnega izida (IPI) smo ugotovili, da je višina plačanih obresti oziroma, da so finančni odhodki iz finančnih obveznosti v letu 2010 znašali 2.272.687 EUR</w:t>
      </w:r>
      <w:r w:rsidR="00AD771A" w:rsidRPr="001A67DA">
        <w:rPr>
          <w:rFonts w:ascii="Times New Roman" w:hAnsi="Times New Roman" w:cs="Times New Roman"/>
          <w:sz w:val="24"/>
        </w:rPr>
        <w:t>. Stanje dolgoročnih in kratkoročnih posojil smo izračunali kot povprečje obeh postavk v zadnjih dveh let. Dobljeno povprečje znaša 32.821.745 EUR. Povprečna obrestna mera posledično znaša 6,92%. Efektivno davčno stopnjo smo izračunali tako, da smo delili davek z obdavčljivim dobičkom</w:t>
      </w:r>
      <w:r w:rsidR="00816703" w:rsidRPr="001A67DA">
        <w:rPr>
          <w:rFonts w:ascii="Times New Roman" w:hAnsi="Times New Roman" w:cs="Times New Roman"/>
          <w:sz w:val="24"/>
        </w:rPr>
        <w:t xml:space="preserve"> (</w:t>
      </w:r>
      <m:oMath>
        <m:r>
          <w:rPr>
            <w:rFonts w:ascii="Cambria Math" w:hAnsi="Cambria Math" w:cs="Times New Roman"/>
          </w:rPr>
          <m:t xml:space="preserve">t= </m:t>
        </m:r>
        <m:f>
          <m:fPr>
            <m:ctrlPr>
              <w:rPr>
                <w:rFonts w:ascii="Cambria Math" w:hAnsi="Cambria Math" w:cs="Times New Roman"/>
                <w:i/>
              </w:rPr>
            </m:ctrlPr>
          </m:fPr>
          <m:num>
            <m:r>
              <m:rPr>
                <m:sty m:val="p"/>
              </m:rPr>
              <w:rPr>
                <w:rFonts w:ascii="Cambria Math" w:hAnsi="Cambria Math" w:cs="Times New Roman"/>
                <w:sz w:val="18"/>
                <w:szCs w:val="20"/>
              </w:rPr>
              <m:t>1.171.257</m:t>
            </m:r>
          </m:num>
          <m:den>
            <m:r>
              <m:rPr>
                <m:sty m:val="p"/>
              </m:rPr>
              <w:rPr>
                <w:rFonts w:ascii="Cambria Math" w:hAnsi="Cambria Math" w:cs="Times New Roman"/>
                <w:sz w:val="18"/>
                <w:szCs w:val="20"/>
              </w:rPr>
              <m:t>7.821.030</m:t>
            </m:r>
          </m:den>
        </m:f>
        <m:r>
          <w:rPr>
            <w:rFonts w:ascii="Cambria Math" w:hAnsi="Cambria Math" w:cs="Times New Roman"/>
          </w:rPr>
          <m:t>≅15%</m:t>
        </m:r>
      </m:oMath>
      <w:r w:rsidR="00816703" w:rsidRPr="001A67DA">
        <w:rPr>
          <w:rFonts w:ascii="Times New Roman" w:eastAsiaTheme="minorEastAsia" w:hAnsi="Times New Roman" w:cs="Times New Roman"/>
          <w:sz w:val="24"/>
        </w:rPr>
        <w:t xml:space="preserve">). </w:t>
      </w:r>
      <w:r w:rsidR="003366EB" w:rsidRPr="001A67DA">
        <w:rPr>
          <w:rFonts w:ascii="Times New Roman" w:eastAsiaTheme="minorEastAsia" w:hAnsi="Times New Roman" w:cs="Times New Roman"/>
          <w:sz w:val="24"/>
        </w:rPr>
        <w:t xml:space="preserve">Strošek dolga tako znaša </w:t>
      </w:r>
      <m:oMath>
        <m:r>
          <w:rPr>
            <w:rFonts w:ascii="Cambria Math" w:eastAsiaTheme="minorEastAsia" w:hAnsi="Cambria Math" w:cs="Times New Roman"/>
            <w:sz w:val="24"/>
          </w:rPr>
          <m:t>6,92%×</m:t>
        </m:r>
        <m:d>
          <m:dPr>
            <m:ctrlPr>
              <w:rPr>
                <w:rFonts w:ascii="Cambria Math" w:eastAsiaTheme="minorEastAsia" w:hAnsi="Cambria Math" w:cs="Times New Roman"/>
                <w:i/>
                <w:sz w:val="24"/>
              </w:rPr>
            </m:ctrlPr>
          </m:dPr>
          <m:e>
            <m:r>
              <w:rPr>
                <w:rFonts w:ascii="Cambria Math" w:eastAsiaTheme="minorEastAsia" w:hAnsi="Cambria Math" w:cs="Times New Roman"/>
                <w:sz w:val="24"/>
              </w:rPr>
              <m:t>1-15%</m:t>
            </m:r>
          </m:e>
        </m:d>
        <m:r>
          <w:rPr>
            <w:rFonts w:ascii="Cambria Math" w:eastAsiaTheme="minorEastAsia" w:hAnsi="Cambria Math" w:cs="Times New Roman"/>
            <w:sz w:val="24"/>
          </w:rPr>
          <m:t>=5,89%</m:t>
        </m:r>
      </m:oMath>
      <w:r w:rsidR="003366EB" w:rsidRPr="001A67DA">
        <w:rPr>
          <w:rFonts w:ascii="Times New Roman" w:eastAsiaTheme="minorEastAsia" w:hAnsi="Times New Roman" w:cs="Times New Roman"/>
          <w:sz w:val="24"/>
        </w:rPr>
        <w:t xml:space="preserve">. Ta strošek je </w:t>
      </w:r>
      <w:r w:rsidR="00650304" w:rsidRPr="001A67DA">
        <w:rPr>
          <w:rFonts w:ascii="Times New Roman" w:eastAsiaTheme="minorEastAsia" w:hAnsi="Times New Roman" w:cs="Times New Roman"/>
          <w:sz w:val="24"/>
        </w:rPr>
        <w:t>dokaj visok, kar lahko delno pripisujemo tudi posledicam krize, ki so povzročile višje obrestne mere.</w:t>
      </w:r>
    </w:p>
    <w:p w:rsidR="004F70D5" w:rsidRPr="001A67DA" w:rsidRDefault="002830D0" w:rsidP="002F04D4">
      <w:pPr>
        <w:spacing w:line="360" w:lineRule="auto"/>
        <w:jc w:val="both"/>
        <w:rPr>
          <w:rFonts w:ascii="Times New Roman" w:eastAsiaTheme="minorEastAsia" w:hAnsi="Times New Roman" w:cs="Times New Roman"/>
          <w:sz w:val="24"/>
        </w:rPr>
      </w:pPr>
      <w:r w:rsidRPr="001A67DA">
        <w:rPr>
          <w:rFonts w:ascii="Times New Roman" w:eastAsiaTheme="minorEastAsia" w:hAnsi="Times New Roman" w:cs="Times New Roman"/>
          <w:sz w:val="24"/>
        </w:rPr>
        <w:t xml:space="preserve">Za izračun WACC-a je torej potrebno obe vrsti kapitala ponderirati, kar pomeni, da je potrebno ugotoviti kakšen je delež dolga in lastniškega kapitala v celotnem kapitalu. </w:t>
      </w:r>
      <w:r w:rsidR="00DA0317" w:rsidRPr="001A67DA">
        <w:rPr>
          <w:rFonts w:ascii="Times New Roman" w:eastAsiaTheme="minorEastAsia" w:hAnsi="Times New Roman" w:cs="Times New Roman"/>
          <w:sz w:val="24"/>
        </w:rPr>
        <w:t xml:space="preserve">Oba sta izračunana po knjigovodski vrednosti, saj jih ne moremo ocenjevati po tržni vrednosti, ker </w:t>
      </w:r>
      <w:r w:rsidR="00DA0317" w:rsidRPr="001A67DA">
        <w:rPr>
          <w:rFonts w:ascii="Times New Roman" w:eastAsiaTheme="minorEastAsia" w:hAnsi="Times New Roman" w:cs="Times New Roman"/>
          <w:sz w:val="24"/>
        </w:rPr>
        <w:lastRenderedPageBreak/>
        <w:t xml:space="preserve">podjetje ne posluje na borzi. </w:t>
      </w:r>
      <w:r w:rsidRPr="001A67DA">
        <w:rPr>
          <w:rFonts w:ascii="Times New Roman" w:eastAsiaTheme="minorEastAsia" w:hAnsi="Times New Roman" w:cs="Times New Roman"/>
          <w:sz w:val="24"/>
        </w:rPr>
        <w:t xml:space="preserve">Delež </w:t>
      </w:r>
      <w:r w:rsidR="00DA0317" w:rsidRPr="001A67DA">
        <w:rPr>
          <w:rFonts w:ascii="Times New Roman" w:eastAsiaTheme="minorEastAsia" w:hAnsi="Times New Roman" w:cs="Times New Roman"/>
          <w:sz w:val="24"/>
        </w:rPr>
        <w:t xml:space="preserve">lastniškega kapitala v Skupini Adria </w:t>
      </w:r>
      <w:proofErr w:type="spellStart"/>
      <w:r w:rsidR="00DA0317" w:rsidRPr="001A67DA">
        <w:rPr>
          <w:rFonts w:ascii="Times New Roman" w:eastAsiaTheme="minorEastAsia" w:hAnsi="Times New Roman" w:cs="Times New Roman"/>
          <w:sz w:val="24"/>
        </w:rPr>
        <w:t>Mobil</w:t>
      </w:r>
      <w:proofErr w:type="spellEnd"/>
      <w:r w:rsidR="00DA0317" w:rsidRPr="001A67DA">
        <w:rPr>
          <w:rFonts w:ascii="Times New Roman" w:eastAsiaTheme="minorEastAsia" w:hAnsi="Times New Roman" w:cs="Times New Roman"/>
          <w:sz w:val="24"/>
        </w:rPr>
        <w:t xml:space="preserve"> znaša 39,23% (</w:t>
      </w:r>
      <m:oMath>
        <m:f>
          <m:fPr>
            <m:ctrlPr>
              <w:rPr>
                <w:rFonts w:ascii="Cambria Math" w:eastAsiaTheme="minorEastAsia" w:hAnsi="Cambria Math" w:cs="Times New Roman"/>
                <w:i/>
                <w:sz w:val="28"/>
              </w:rPr>
            </m:ctrlPr>
          </m:fPr>
          <m:num>
            <m:r>
              <m:rPr>
                <m:sty m:val="p"/>
              </m:rPr>
              <w:rPr>
                <w:rFonts w:ascii="Cambria Math" w:hAnsi="Cambria Math" w:cs="Times New Roman"/>
                <w:szCs w:val="20"/>
              </w:rPr>
              <m:t>65.238.341 €</m:t>
            </m:r>
          </m:num>
          <m:den>
            <m:r>
              <m:rPr>
                <m:sty m:val="p"/>
              </m:rPr>
              <w:rPr>
                <w:rFonts w:ascii="Cambria Math" w:hAnsi="Cambria Math" w:cs="Times New Roman"/>
                <w:szCs w:val="20"/>
              </w:rPr>
              <m:t>166.312.448 €</m:t>
            </m:r>
          </m:den>
        </m:f>
      </m:oMath>
      <w:r w:rsidR="00DA0317" w:rsidRPr="001A67DA">
        <w:rPr>
          <w:rFonts w:ascii="Times New Roman" w:eastAsiaTheme="minorEastAsia" w:hAnsi="Times New Roman" w:cs="Times New Roman"/>
          <w:sz w:val="24"/>
        </w:rPr>
        <w:t xml:space="preserve">). Na drugi strani </w:t>
      </w:r>
      <w:r w:rsidR="00212EAB" w:rsidRPr="001A67DA">
        <w:rPr>
          <w:rFonts w:ascii="Times New Roman" w:eastAsiaTheme="minorEastAsia" w:hAnsi="Times New Roman" w:cs="Times New Roman"/>
          <w:sz w:val="24"/>
        </w:rPr>
        <w:t>je delež dolžniškega kapitala 60</w:t>
      </w:r>
      <w:r w:rsidR="00DA0317" w:rsidRPr="001A67DA">
        <w:rPr>
          <w:rFonts w:ascii="Times New Roman" w:eastAsiaTheme="minorEastAsia" w:hAnsi="Times New Roman" w:cs="Times New Roman"/>
          <w:sz w:val="24"/>
        </w:rPr>
        <w:t>,77%.</w:t>
      </w:r>
    </w:p>
    <w:p w:rsidR="00335974" w:rsidRPr="00A33770" w:rsidRDefault="00335974" w:rsidP="00AD6EDE">
      <w:pPr>
        <w:pStyle w:val="Heading3"/>
        <w:numPr>
          <w:ilvl w:val="2"/>
          <w:numId w:val="4"/>
        </w:numPr>
        <w:spacing w:before="0" w:after="120"/>
        <w:rPr>
          <w:rFonts w:eastAsiaTheme="minorEastAsia"/>
          <w:sz w:val="24"/>
        </w:rPr>
      </w:pPr>
      <w:bookmarkStart w:id="18" w:name="_Toc327382754"/>
      <w:r w:rsidRPr="00A33770">
        <w:rPr>
          <w:rFonts w:eastAsiaTheme="minorEastAsia"/>
          <w:sz w:val="24"/>
        </w:rPr>
        <w:t>Strošek lastniškega kapitala – CAPM</w:t>
      </w:r>
      <w:bookmarkEnd w:id="18"/>
    </w:p>
    <w:p w:rsidR="00335974" w:rsidRPr="001A67DA" w:rsidRDefault="00335974" w:rsidP="002F04D4">
      <w:pPr>
        <w:spacing w:line="360" w:lineRule="auto"/>
        <w:jc w:val="both"/>
        <w:rPr>
          <w:rFonts w:ascii="Times New Roman" w:eastAsiaTheme="minorEastAsia" w:hAnsi="Times New Roman" w:cs="Times New Roman"/>
          <w:sz w:val="24"/>
        </w:rPr>
      </w:pPr>
      <w:r w:rsidRPr="001A67DA">
        <w:rPr>
          <w:rFonts w:ascii="Times New Roman" w:eastAsiaTheme="minorEastAsia" w:hAnsi="Times New Roman" w:cs="Times New Roman"/>
          <w:sz w:val="24"/>
        </w:rPr>
        <w:t xml:space="preserve">S CAPM modelom izračunamo ocena zahtevane donosnosti kapitala po formuli </w:t>
      </w:r>
      <w:proofErr w:type="spellStart"/>
      <w:r w:rsidRPr="001A67DA">
        <w:rPr>
          <w:rFonts w:ascii="Times New Roman" w:eastAsiaTheme="minorEastAsia" w:hAnsi="Times New Roman" w:cs="Times New Roman"/>
          <w:sz w:val="24"/>
        </w:rPr>
        <w:t>r</w:t>
      </w:r>
      <w:r w:rsidRPr="001A67DA">
        <w:rPr>
          <w:rFonts w:ascii="Times New Roman" w:eastAsiaTheme="minorEastAsia" w:hAnsi="Times New Roman" w:cs="Times New Roman"/>
          <w:sz w:val="24"/>
          <w:vertAlign w:val="subscript"/>
        </w:rPr>
        <w:t>e</w:t>
      </w:r>
      <w:proofErr w:type="spellEnd"/>
      <w:r w:rsidRPr="001A67DA">
        <w:rPr>
          <w:rFonts w:ascii="Times New Roman" w:eastAsiaTheme="minorEastAsia" w:hAnsi="Times New Roman" w:cs="Times New Roman"/>
          <w:sz w:val="24"/>
        </w:rPr>
        <w:t>=</w:t>
      </w:r>
      <w:proofErr w:type="spellStart"/>
      <w:r w:rsidRPr="001A67DA">
        <w:rPr>
          <w:rFonts w:ascii="Times New Roman" w:eastAsiaTheme="minorEastAsia" w:hAnsi="Times New Roman" w:cs="Times New Roman"/>
          <w:sz w:val="24"/>
        </w:rPr>
        <w:t>r</w:t>
      </w:r>
      <w:r w:rsidRPr="001A67DA">
        <w:rPr>
          <w:rFonts w:ascii="Times New Roman" w:eastAsiaTheme="minorEastAsia" w:hAnsi="Times New Roman" w:cs="Times New Roman"/>
          <w:sz w:val="24"/>
          <w:vertAlign w:val="subscript"/>
        </w:rPr>
        <w:t>f</w:t>
      </w:r>
      <w:proofErr w:type="spellEnd"/>
      <w:r w:rsidRPr="001A67DA">
        <w:rPr>
          <w:rFonts w:ascii="Times New Roman" w:eastAsiaTheme="minorEastAsia" w:hAnsi="Times New Roman" w:cs="Times New Roman"/>
          <w:sz w:val="24"/>
        </w:rPr>
        <w:t xml:space="preserve"> + (</w:t>
      </w:r>
      <w:proofErr w:type="spellStart"/>
      <w:r w:rsidRPr="001A67DA">
        <w:rPr>
          <w:rFonts w:ascii="Times New Roman" w:eastAsiaTheme="minorEastAsia" w:hAnsi="Times New Roman" w:cs="Times New Roman"/>
          <w:sz w:val="24"/>
        </w:rPr>
        <w:t>r</w:t>
      </w:r>
      <w:r w:rsidRPr="001A67DA">
        <w:rPr>
          <w:rFonts w:ascii="Times New Roman" w:eastAsiaTheme="minorEastAsia" w:hAnsi="Times New Roman" w:cs="Times New Roman"/>
          <w:sz w:val="24"/>
          <w:vertAlign w:val="subscript"/>
        </w:rPr>
        <w:t>m</w:t>
      </w:r>
      <w:proofErr w:type="spellEnd"/>
      <w:r w:rsidRPr="001A67DA">
        <w:rPr>
          <w:rFonts w:ascii="Times New Roman" w:eastAsiaTheme="minorEastAsia" w:hAnsi="Times New Roman" w:cs="Times New Roman"/>
          <w:sz w:val="24"/>
        </w:rPr>
        <w:t xml:space="preserve"> – </w:t>
      </w:r>
      <w:proofErr w:type="spellStart"/>
      <w:r w:rsidRPr="001A67DA">
        <w:rPr>
          <w:rFonts w:ascii="Times New Roman" w:eastAsiaTheme="minorEastAsia" w:hAnsi="Times New Roman" w:cs="Times New Roman"/>
          <w:sz w:val="24"/>
        </w:rPr>
        <w:t>r</w:t>
      </w:r>
      <w:r w:rsidRPr="001A67DA">
        <w:rPr>
          <w:rFonts w:ascii="Times New Roman" w:eastAsiaTheme="minorEastAsia" w:hAnsi="Times New Roman" w:cs="Times New Roman"/>
          <w:sz w:val="24"/>
          <w:vertAlign w:val="subscript"/>
        </w:rPr>
        <w:t>f</w:t>
      </w:r>
      <w:proofErr w:type="spellEnd"/>
      <w:r w:rsidRPr="001A67DA">
        <w:rPr>
          <w:rFonts w:ascii="Times New Roman" w:eastAsiaTheme="minorEastAsia" w:hAnsi="Times New Roman" w:cs="Times New Roman"/>
          <w:sz w:val="24"/>
        </w:rPr>
        <w:t>)*β.</w:t>
      </w:r>
      <w:r w:rsidR="0059735F" w:rsidRPr="001A67DA">
        <w:rPr>
          <w:rFonts w:ascii="Times New Roman" w:eastAsiaTheme="minorEastAsia" w:hAnsi="Times New Roman" w:cs="Times New Roman"/>
          <w:sz w:val="24"/>
        </w:rPr>
        <w:t xml:space="preserve"> V nadaljevanju bomo pojasnili izbiro vrednosti vsake izmed teh spremenljivk.</w:t>
      </w:r>
    </w:p>
    <w:p w:rsidR="0059735F" w:rsidRPr="001A67DA" w:rsidRDefault="0059735F" w:rsidP="002F04D4">
      <w:pPr>
        <w:spacing w:line="360" w:lineRule="auto"/>
        <w:jc w:val="both"/>
        <w:rPr>
          <w:rFonts w:ascii="Times New Roman" w:eastAsiaTheme="minorEastAsia" w:hAnsi="Times New Roman" w:cs="Times New Roman"/>
          <w:sz w:val="24"/>
        </w:rPr>
      </w:pPr>
      <w:proofErr w:type="spellStart"/>
      <w:r w:rsidRPr="001A67DA">
        <w:rPr>
          <w:rFonts w:ascii="Times New Roman" w:eastAsiaTheme="minorEastAsia" w:hAnsi="Times New Roman" w:cs="Times New Roman"/>
          <w:sz w:val="24"/>
        </w:rPr>
        <w:t>Rf</w:t>
      </w:r>
      <w:proofErr w:type="spellEnd"/>
      <w:r w:rsidR="00FA2FC1" w:rsidRPr="001A67DA">
        <w:rPr>
          <w:rFonts w:ascii="Times New Roman" w:eastAsiaTheme="minorEastAsia" w:hAnsi="Times New Roman" w:cs="Times New Roman"/>
          <w:sz w:val="24"/>
        </w:rPr>
        <w:t xml:space="preserve"> predstavlja ne</w:t>
      </w:r>
      <w:r w:rsidR="00BF69FC" w:rsidRPr="001A67DA">
        <w:rPr>
          <w:rFonts w:ascii="Times New Roman" w:eastAsiaTheme="minorEastAsia" w:hAnsi="Times New Roman" w:cs="Times New Roman"/>
          <w:sz w:val="24"/>
        </w:rPr>
        <w:t xml:space="preserve"> </w:t>
      </w:r>
      <w:r w:rsidR="00FA2FC1" w:rsidRPr="001A67DA">
        <w:rPr>
          <w:rFonts w:ascii="Times New Roman" w:eastAsiaTheme="minorEastAsia" w:hAnsi="Times New Roman" w:cs="Times New Roman"/>
          <w:sz w:val="24"/>
        </w:rPr>
        <w:t xml:space="preserve">tvegano stopnjo donosa in je najboljši približek nesistematičnemu tveganju. Za vrednost te spremenljivke je najbolj primerno vzeti </w:t>
      </w:r>
      <w:r w:rsidR="00BF69FC" w:rsidRPr="001A67DA">
        <w:rPr>
          <w:rFonts w:ascii="Times New Roman" w:eastAsiaTheme="minorEastAsia" w:hAnsi="Times New Roman" w:cs="Times New Roman"/>
          <w:sz w:val="24"/>
        </w:rPr>
        <w:t>donosnost</w:t>
      </w:r>
      <w:r w:rsidR="00FA2FC1" w:rsidRPr="001A67DA">
        <w:rPr>
          <w:rFonts w:ascii="Times New Roman" w:eastAsiaTheme="minorEastAsia" w:hAnsi="Times New Roman" w:cs="Times New Roman"/>
          <w:sz w:val="24"/>
        </w:rPr>
        <w:t xml:space="preserve"> dolgoročnih državnih obveznic. V našem primeru smo vzeli vrednost 30-letne nemške državne obveznice. Ta podatek je dostopen na strani </w:t>
      </w:r>
      <w:proofErr w:type="spellStart"/>
      <w:r w:rsidR="00FA2FC1" w:rsidRPr="001A67DA">
        <w:rPr>
          <w:rFonts w:ascii="Times New Roman" w:eastAsiaTheme="minorEastAsia" w:hAnsi="Times New Roman" w:cs="Times New Roman"/>
          <w:sz w:val="24"/>
        </w:rPr>
        <w:t>Bloomberg</w:t>
      </w:r>
      <w:proofErr w:type="spellEnd"/>
      <w:r w:rsidR="00FA2FC1" w:rsidRPr="001A67DA">
        <w:rPr>
          <w:rFonts w:ascii="Times New Roman" w:eastAsiaTheme="minorEastAsia" w:hAnsi="Times New Roman" w:cs="Times New Roman"/>
          <w:sz w:val="24"/>
        </w:rPr>
        <w:t>.</w:t>
      </w:r>
      <w:proofErr w:type="spellStart"/>
      <w:r w:rsidR="00FA2FC1" w:rsidRPr="001A67DA">
        <w:rPr>
          <w:rFonts w:ascii="Times New Roman" w:eastAsiaTheme="minorEastAsia" w:hAnsi="Times New Roman" w:cs="Times New Roman"/>
          <w:sz w:val="24"/>
        </w:rPr>
        <w:t>com</w:t>
      </w:r>
      <w:proofErr w:type="spellEnd"/>
      <w:r w:rsidR="00FA2FC1" w:rsidRPr="001A67DA">
        <w:rPr>
          <w:rFonts w:ascii="Times New Roman" w:eastAsiaTheme="minorEastAsia" w:hAnsi="Times New Roman" w:cs="Times New Roman"/>
          <w:sz w:val="24"/>
        </w:rPr>
        <w:t>. Na dan 30. 5. 2012 je donos na nemško obveznico znašal 1,88%.</w:t>
      </w:r>
    </w:p>
    <w:p w:rsidR="0059735F" w:rsidRPr="001A67DA" w:rsidRDefault="00090E15" w:rsidP="002F04D4">
      <w:pPr>
        <w:spacing w:line="360" w:lineRule="auto"/>
        <w:jc w:val="both"/>
        <w:rPr>
          <w:rFonts w:ascii="Times New Roman" w:eastAsiaTheme="minorEastAsia" w:hAnsi="Times New Roman" w:cs="Times New Roman"/>
          <w:sz w:val="24"/>
        </w:rPr>
      </w:pPr>
      <w:r w:rsidRPr="001A67DA">
        <w:rPr>
          <w:rFonts w:ascii="Times New Roman" w:eastAsiaTheme="minorEastAsia" w:hAnsi="Times New Roman" w:cs="Times New Roman"/>
          <w:sz w:val="24"/>
        </w:rPr>
        <w:t>(</w:t>
      </w:r>
      <w:proofErr w:type="spellStart"/>
      <w:r w:rsidRPr="001A67DA">
        <w:rPr>
          <w:rFonts w:ascii="Times New Roman" w:eastAsiaTheme="minorEastAsia" w:hAnsi="Times New Roman" w:cs="Times New Roman"/>
          <w:sz w:val="24"/>
        </w:rPr>
        <w:t>r</w:t>
      </w:r>
      <w:r w:rsidR="0079217F" w:rsidRPr="001A67DA">
        <w:rPr>
          <w:rFonts w:ascii="Times New Roman" w:eastAsiaTheme="minorEastAsia" w:hAnsi="Times New Roman" w:cs="Times New Roman"/>
          <w:sz w:val="24"/>
        </w:rPr>
        <w:t>m</w:t>
      </w:r>
      <w:proofErr w:type="spellEnd"/>
      <w:r w:rsidR="0079217F" w:rsidRPr="001A67DA">
        <w:rPr>
          <w:rFonts w:ascii="Times New Roman" w:eastAsiaTheme="minorEastAsia" w:hAnsi="Times New Roman" w:cs="Times New Roman"/>
          <w:sz w:val="24"/>
        </w:rPr>
        <w:t xml:space="preserve"> – </w:t>
      </w:r>
      <w:proofErr w:type="spellStart"/>
      <w:r w:rsidR="0079217F" w:rsidRPr="001A67DA">
        <w:rPr>
          <w:rFonts w:ascii="Times New Roman" w:eastAsiaTheme="minorEastAsia" w:hAnsi="Times New Roman" w:cs="Times New Roman"/>
          <w:sz w:val="24"/>
        </w:rPr>
        <w:t>rf</w:t>
      </w:r>
      <w:proofErr w:type="spellEnd"/>
      <w:r w:rsidRPr="001A67DA">
        <w:rPr>
          <w:rFonts w:ascii="Times New Roman" w:eastAsiaTheme="minorEastAsia" w:hAnsi="Times New Roman" w:cs="Times New Roman"/>
          <w:sz w:val="24"/>
        </w:rPr>
        <w:t>)</w:t>
      </w:r>
      <w:r w:rsidR="0079217F" w:rsidRPr="001A67DA">
        <w:rPr>
          <w:rFonts w:ascii="Times New Roman" w:eastAsiaTheme="minorEastAsia" w:hAnsi="Times New Roman" w:cs="Times New Roman"/>
          <w:sz w:val="24"/>
        </w:rPr>
        <w:t xml:space="preserve"> opredeljuje premijo za tržno tveganje lastniške naložbe. </w:t>
      </w:r>
      <w:r w:rsidR="002B03C9" w:rsidRPr="001A67DA">
        <w:rPr>
          <w:rFonts w:ascii="Times New Roman" w:eastAsiaTheme="minorEastAsia" w:hAnsi="Times New Roman" w:cs="Times New Roman"/>
          <w:sz w:val="24"/>
        </w:rPr>
        <w:t xml:space="preserve">Gre za dodaten donos, ki ga zahtevajo vlagatelji v lastniški kapital, saj gre za bolj tvegano naložbo. </w:t>
      </w:r>
      <w:r w:rsidR="00CC7D69" w:rsidRPr="001A67DA">
        <w:rPr>
          <w:rFonts w:ascii="Times New Roman" w:eastAsiaTheme="minorEastAsia" w:hAnsi="Times New Roman" w:cs="Times New Roman"/>
          <w:sz w:val="24"/>
        </w:rPr>
        <w:t xml:space="preserve">Za Slovenijo je višina te premije po podatkih s strani </w:t>
      </w:r>
      <w:proofErr w:type="spellStart"/>
      <w:r w:rsidR="00CC7D69" w:rsidRPr="001A67DA">
        <w:rPr>
          <w:rFonts w:ascii="Times New Roman" w:eastAsiaTheme="minorEastAsia" w:hAnsi="Times New Roman" w:cs="Times New Roman"/>
          <w:sz w:val="24"/>
        </w:rPr>
        <w:t>Damodaran</w:t>
      </w:r>
      <w:proofErr w:type="spellEnd"/>
      <w:r w:rsidR="00CC7D69" w:rsidRPr="001A67DA">
        <w:rPr>
          <w:rFonts w:ascii="Times New Roman" w:eastAsiaTheme="minorEastAsia" w:hAnsi="Times New Roman" w:cs="Times New Roman"/>
          <w:sz w:val="24"/>
        </w:rPr>
        <w:t xml:space="preserve"> 7,28%. Deželno tveganje za Slovenijo je 1,28%, ki je v primerjavi z zahodnimi, severnimi in srednje evropskimi državami dokaj veliko. Te države namreč v večini dosegajo 6% premijo, </w:t>
      </w:r>
      <w:r w:rsidR="000446F7" w:rsidRPr="001A67DA">
        <w:rPr>
          <w:rFonts w:ascii="Times New Roman" w:eastAsiaTheme="minorEastAsia" w:hAnsi="Times New Roman" w:cs="Times New Roman"/>
          <w:sz w:val="24"/>
        </w:rPr>
        <w:t>ki velja za najbolj zrele trge</w:t>
      </w:r>
      <w:r w:rsidR="008C667B" w:rsidRPr="001A67DA">
        <w:rPr>
          <w:rFonts w:ascii="Times New Roman" w:eastAsiaTheme="minorEastAsia" w:hAnsi="Times New Roman" w:cs="Times New Roman"/>
          <w:sz w:val="24"/>
        </w:rPr>
        <w:t xml:space="preserve"> in pomeni, da nimajo deželnega tveganja</w:t>
      </w:r>
      <w:r w:rsidR="000446F7" w:rsidRPr="001A67DA">
        <w:rPr>
          <w:rFonts w:ascii="Times New Roman" w:eastAsiaTheme="minorEastAsia" w:hAnsi="Times New Roman" w:cs="Times New Roman"/>
          <w:sz w:val="24"/>
        </w:rPr>
        <w:t>. Vsi premije so bile nazadnje posodobljene januarja v letošnjem letu.</w:t>
      </w:r>
    </w:p>
    <w:p w:rsidR="0009228C" w:rsidRPr="001A67DA" w:rsidRDefault="0009228C" w:rsidP="002F04D4">
      <w:pPr>
        <w:spacing w:line="360" w:lineRule="auto"/>
        <w:jc w:val="both"/>
        <w:rPr>
          <w:rFonts w:ascii="Times New Roman" w:eastAsiaTheme="minorEastAsia" w:hAnsi="Times New Roman" w:cs="Times New Roman"/>
          <w:sz w:val="24"/>
        </w:rPr>
      </w:pPr>
      <w:r w:rsidRPr="001A67DA">
        <w:rPr>
          <w:rFonts w:ascii="Times New Roman" w:eastAsiaTheme="minorEastAsia" w:hAnsi="Times New Roman" w:cs="Times New Roman"/>
          <w:sz w:val="24"/>
        </w:rPr>
        <w:t>Nekoliko več problemov smo imeli pri izbiri bete (β). Beta je po definiciji ocena mere sistematičnega tveganja (v nasprotju z nesistematičnem tveganju za sistematično tveganje velja, da ga ne moremo odpraviti z razp</w:t>
      </w:r>
      <w:r w:rsidR="000A5165" w:rsidRPr="001A67DA">
        <w:rPr>
          <w:rFonts w:ascii="Times New Roman" w:eastAsiaTheme="minorEastAsia" w:hAnsi="Times New Roman" w:cs="Times New Roman"/>
          <w:sz w:val="24"/>
        </w:rPr>
        <w:t>r</w:t>
      </w:r>
      <w:r w:rsidRPr="001A67DA">
        <w:rPr>
          <w:rFonts w:ascii="Times New Roman" w:eastAsiaTheme="minorEastAsia" w:hAnsi="Times New Roman" w:cs="Times New Roman"/>
          <w:sz w:val="24"/>
        </w:rPr>
        <w:t xml:space="preserve">šitvijo </w:t>
      </w:r>
      <w:r w:rsidR="000A5165" w:rsidRPr="001A67DA">
        <w:rPr>
          <w:rFonts w:ascii="Times New Roman" w:eastAsiaTheme="minorEastAsia" w:hAnsi="Times New Roman" w:cs="Times New Roman"/>
          <w:sz w:val="24"/>
        </w:rPr>
        <w:t>portfelja naložb), ki ji lahko rečemo tudi splošno tveganje. Ker beta močno vpliva na končno višino zahtevane donosnosti lastniškega kapitala, smo poskušali uporabiti čim več virov.</w:t>
      </w:r>
      <w:r w:rsidR="008C0DDD" w:rsidRPr="001A67DA">
        <w:rPr>
          <w:rFonts w:ascii="Times New Roman" w:eastAsiaTheme="minorEastAsia" w:hAnsi="Times New Roman" w:cs="Times New Roman"/>
          <w:sz w:val="24"/>
        </w:rPr>
        <w:t xml:space="preserve"> Ker SAM ne kotira na borzi, tržnih podatkov za donosnost nimamo, zato je bilo potrebno ugotoviti beto primerljivih podjetji in panoge.</w:t>
      </w:r>
      <w:r w:rsidR="000A5165" w:rsidRPr="001A67DA">
        <w:rPr>
          <w:rFonts w:ascii="Times New Roman" w:eastAsiaTheme="minorEastAsia" w:hAnsi="Times New Roman" w:cs="Times New Roman"/>
          <w:sz w:val="24"/>
        </w:rPr>
        <w:t xml:space="preserve"> </w:t>
      </w:r>
      <w:r w:rsidR="009F3546" w:rsidRPr="001A67DA">
        <w:rPr>
          <w:rFonts w:ascii="Times New Roman" w:eastAsiaTheme="minorEastAsia" w:hAnsi="Times New Roman" w:cs="Times New Roman"/>
          <w:sz w:val="24"/>
        </w:rPr>
        <w:t xml:space="preserve">Najprej smo skušali </w:t>
      </w:r>
      <w:r w:rsidR="00142300">
        <w:rPr>
          <w:rFonts w:ascii="Times New Roman" w:eastAsiaTheme="minorEastAsia" w:hAnsi="Times New Roman" w:cs="Times New Roman"/>
          <w:sz w:val="24"/>
        </w:rPr>
        <w:t>najti</w:t>
      </w:r>
      <w:r w:rsidR="009F3546" w:rsidRPr="001A67DA">
        <w:rPr>
          <w:rFonts w:ascii="Times New Roman" w:eastAsiaTheme="minorEastAsia" w:hAnsi="Times New Roman" w:cs="Times New Roman"/>
          <w:sz w:val="24"/>
        </w:rPr>
        <w:t xml:space="preserve"> beto za konkurenčni podjetji, ki smo ju obravnavali v seminarski, vendar smo že tukaj naleteli na prve težave. Tako na </w:t>
      </w:r>
      <w:proofErr w:type="spellStart"/>
      <w:r w:rsidR="009F3546" w:rsidRPr="001A67DA">
        <w:rPr>
          <w:rFonts w:ascii="Times New Roman" w:eastAsiaTheme="minorEastAsia" w:hAnsi="Times New Roman" w:cs="Times New Roman"/>
          <w:sz w:val="24"/>
        </w:rPr>
        <w:t>google.finance</w:t>
      </w:r>
      <w:proofErr w:type="spellEnd"/>
      <w:r w:rsidR="009F3546" w:rsidRPr="001A67DA">
        <w:rPr>
          <w:rFonts w:ascii="Times New Roman" w:eastAsiaTheme="minorEastAsia" w:hAnsi="Times New Roman" w:cs="Times New Roman"/>
          <w:sz w:val="24"/>
        </w:rPr>
        <w:t xml:space="preserve"> kot na </w:t>
      </w:r>
      <w:proofErr w:type="spellStart"/>
      <w:r w:rsidR="009F3546" w:rsidRPr="001A67DA">
        <w:rPr>
          <w:rFonts w:ascii="Times New Roman" w:eastAsiaTheme="minorEastAsia" w:hAnsi="Times New Roman" w:cs="Times New Roman"/>
          <w:sz w:val="24"/>
        </w:rPr>
        <w:t>yahoo</w:t>
      </w:r>
      <w:proofErr w:type="spellEnd"/>
      <w:r w:rsidR="009F3546" w:rsidRPr="001A67DA">
        <w:rPr>
          <w:rFonts w:ascii="Times New Roman" w:eastAsiaTheme="minorEastAsia" w:hAnsi="Times New Roman" w:cs="Times New Roman"/>
          <w:sz w:val="24"/>
        </w:rPr>
        <w:t xml:space="preserve"> finance (nemška in francoska stran) ni bilo podanih vseh podatkov za obe podjetji – </w:t>
      </w:r>
      <w:proofErr w:type="spellStart"/>
      <w:r w:rsidR="009F3546" w:rsidRPr="001A67DA">
        <w:rPr>
          <w:rFonts w:ascii="Times New Roman" w:eastAsiaTheme="minorEastAsia" w:hAnsi="Times New Roman" w:cs="Times New Roman"/>
          <w:sz w:val="24"/>
        </w:rPr>
        <w:t>Trigano</w:t>
      </w:r>
      <w:proofErr w:type="spellEnd"/>
      <w:r w:rsidR="009F3546" w:rsidRPr="001A67DA">
        <w:rPr>
          <w:rFonts w:ascii="Times New Roman" w:eastAsiaTheme="minorEastAsia" w:hAnsi="Times New Roman" w:cs="Times New Roman"/>
          <w:sz w:val="24"/>
        </w:rPr>
        <w:t xml:space="preserve"> in </w:t>
      </w:r>
      <w:proofErr w:type="spellStart"/>
      <w:r w:rsidR="009F3546" w:rsidRPr="001A67DA">
        <w:rPr>
          <w:rFonts w:ascii="Times New Roman" w:eastAsiaTheme="minorEastAsia" w:hAnsi="Times New Roman" w:cs="Times New Roman"/>
          <w:sz w:val="24"/>
        </w:rPr>
        <w:t>Hymer</w:t>
      </w:r>
      <w:proofErr w:type="spellEnd"/>
      <w:r w:rsidR="009F3546" w:rsidRPr="001A67DA">
        <w:rPr>
          <w:rFonts w:ascii="Times New Roman" w:eastAsiaTheme="minorEastAsia" w:hAnsi="Times New Roman" w:cs="Times New Roman"/>
          <w:sz w:val="24"/>
        </w:rPr>
        <w:t xml:space="preserve">. </w:t>
      </w:r>
      <w:r w:rsidR="0038639B" w:rsidRPr="001A67DA">
        <w:rPr>
          <w:rFonts w:ascii="Times New Roman" w:eastAsiaTheme="minorEastAsia" w:hAnsi="Times New Roman" w:cs="Times New Roman"/>
          <w:sz w:val="24"/>
        </w:rPr>
        <w:t xml:space="preserve">Na koncu nam je uspelo priti do podatkov za obe podjetji preko profesionalne baze podatkov – Thompson </w:t>
      </w:r>
      <w:proofErr w:type="spellStart"/>
      <w:r w:rsidR="0038639B" w:rsidRPr="001A67DA">
        <w:rPr>
          <w:rFonts w:ascii="Times New Roman" w:eastAsiaTheme="minorEastAsia" w:hAnsi="Times New Roman" w:cs="Times New Roman"/>
          <w:sz w:val="24"/>
        </w:rPr>
        <w:t>Datastream</w:t>
      </w:r>
      <w:proofErr w:type="spellEnd"/>
      <w:r w:rsidR="0038639B" w:rsidRPr="001A67DA">
        <w:rPr>
          <w:rFonts w:ascii="Times New Roman" w:eastAsiaTheme="minorEastAsia" w:hAnsi="Times New Roman" w:cs="Times New Roman"/>
          <w:sz w:val="24"/>
        </w:rPr>
        <w:t xml:space="preserve">. </w:t>
      </w:r>
      <w:r w:rsidR="00ED22FF" w:rsidRPr="001A67DA">
        <w:rPr>
          <w:rFonts w:ascii="Times New Roman" w:eastAsiaTheme="minorEastAsia" w:hAnsi="Times New Roman" w:cs="Times New Roman"/>
          <w:sz w:val="24"/>
        </w:rPr>
        <w:t xml:space="preserve">Za </w:t>
      </w:r>
      <w:proofErr w:type="spellStart"/>
      <w:r w:rsidR="00ED22FF" w:rsidRPr="001A67DA">
        <w:rPr>
          <w:rFonts w:ascii="Times New Roman" w:eastAsiaTheme="minorEastAsia" w:hAnsi="Times New Roman" w:cs="Times New Roman"/>
          <w:sz w:val="24"/>
        </w:rPr>
        <w:t>Trigano</w:t>
      </w:r>
      <w:proofErr w:type="spellEnd"/>
      <w:r w:rsidR="00ED22FF" w:rsidRPr="001A67DA">
        <w:rPr>
          <w:rFonts w:ascii="Times New Roman" w:eastAsiaTheme="minorEastAsia" w:hAnsi="Times New Roman" w:cs="Times New Roman"/>
          <w:sz w:val="24"/>
        </w:rPr>
        <w:t xml:space="preserve"> beta znaša 1,298, medtem ko za </w:t>
      </w:r>
      <w:proofErr w:type="spellStart"/>
      <w:r w:rsidR="00ED22FF" w:rsidRPr="001A67DA">
        <w:rPr>
          <w:rFonts w:ascii="Times New Roman" w:eastAsiaTheme="minorEastAsia" w:hAnsi="Times New Roman" w:cs="Times New Roman"/>
          <w:sz w:val="24"/>
        </w:rPr>
        <w:t>Hymer</w:t>
      </w:r>
      <w:proofErr w:type="spellEnd"/>
      <w:r w:rsidR="00ED22FF" w:rsidRPr="001A67DA">
        <w:rPr>
          <w:rFonts w:ascii="Times New Roman" w:eastAsiaTheme="minorEastAsia" w:hAnsi="Times New Roman" w:cs="Times New Roman"/>
          <w:sz w:val="24"/>
        </w:rPr>
        <w:t xml:space="preserve"> 0,598. Takšna razlika za podjetji, ki poslujeta na istem trgu je zelo nenavadna. Glede na to, da gre za trg z luksuznimi dobrinami je logično sklepati, da bi morala biti beta večja od 1. To pomeni, da </w:t>
      </w:r>
      <w:r w:rsidR="00D5666A" w:rsidRPr="001A67DA">
        <w:rPr>
          <w:rFonts w:ascii="Times New Roman" w:eastAsiaTheme="minorEastAsia" w:hAnsi="Times New Roman" w:cs="Times New Roman"/>
          <w:sz w:val="24"/>
        </w:rPr>
        <w:t xml:space="preserve">gre za bolj tvegana podjetja, </w:t>
      </w:r>
      <w:r w:rsidR="00BF32C2" w:rsidRPr="001A67DA">
        <w:rPr>
          <w:rFonts w:ascii="Times New Roman" w:eastAsiaTheme="minorEastAsia" w:hAnsi="Times New Roman" w:cs="Times New Roman"/>
          <w:sz w:val="24"/>
        </w:rPr>
        <w:t xml:space="preserve">poslovanje katerih temelji na ekonomskih razmerah. V času </w:t>
      </w:r>
      <w:r w:rsidR="00BF32C2" w:rsidRPr="001A67DA">
        <w:rPr>
          <w:rFonts w:ascii="Times New Roman" w:eastAsiaTheme="minorEastAsia" w:hAnsi="Times New Roman" w:cs="Times New Roman"/>
          <w:sz w:val="24"/>
        </w:rPr>
        <w:lastRenderedPageBreak/>
        <w:t xml:space="preserve">krize oziroma </w:t>
      </w:r>
      <w:r w:rsidR="00805AD0" w:rsidRPr="001A67DA">
        <w:rPr>
          <w:rFonts w:ascii="Times New Roman" w:eastAsiaTheme="minorEastAsia" w:hAnsi="Times New Roman" w:cs="Times New Roman"/>
          <w:sz w:val="24"/>
        </w:rPr>
        <w:t>gospodarskega padca se ljudje najprej odpovejo potrošnji oziroma nakupu luksuznih dobrin in jih kupujejo šele, ko so ekonomske razmere v razcvetu, saj takrat manj varčujejo.</w:t>
      </w:r>
      <w:r w:rsidR="00F276A7" w:rsidRPr="001A67DA">
        <w:rPr>
          <w:rFonts w:ascii="Times New Roman" w:eastAsiaTheme="minorEastAsia" w:hAnsi="Times New Roman" w:cs="Times New Roman"/>
          <w:sz w:val="24"/>
        </w:rPr>
        <w:t xml:space="preserve"> Z vidika delnic pa velja, da v času recesije izgubi več vrednosti kot nek splošen portfelj delnic in obratno velja za čas rasti. </w:t>
      </w:r>
      <w:r w:rsidR="00B7020C" w:rsidRPr="001A67DA">
        <w:rPr>
          <w:rFonts w:ascii="Times New Roman" w:eastAsiaTheme="minorEastAsia" w:hAnsi="Times New Roman" w:cs="Times New Roman"/>
          <w:sz w:val="24"/>
        </w:rPr>
        <w:t xml:space="preserve"> Tukaj smo se odločili, da se bomo zato ravnali bolj po beti za </w:t>
      </w:r>
      <w:proofErr w:type="spellStart"/>
      <w:r w:rsidR="00B7020C" w:rsidRPr="001A67DA">
        <w:rPr>
          <w:rFonts w:ascii="Times New Roman" w:eastAsiaTheme="minorEastAsia" w:hAnsi="Times New Roman" w:cs="Times New Roman"/>
          <w:sz w:val="24"/>
        </w:rPr>
        <w:t>Trigano</w:t>
      </w:r>
      <w:proofErr w:type="spellEnd"/>
      <w:r w:rsidR="00B7020C" w:rsidRPr="001A67DA">
        <w:rPr>
          <w:rFonts w:ascii="Times New Roman" w:eastAsiaTheme="minorEastAsia" w:hAnsi="Times New Roman" w:cs="Times New Roman"/>
          <w:sz w:val="24"/>
        </w:rPr>
        <w:t xml:space="preserve">. </w:t>
      </w:r>
      <w:r w:rsidR="00FE5BEA" w:rsidRPr="001A67DA">
        <w:rPr>
          <w:rFonts w:ascii="Times New Roman" w:eastAsiaTheme="minorEastAsia" w:hAnsi="Times New Roman" w:cs="Times New Roman"/>
          <w:sz w:val="24"/>
        </w:rPr>
        <w:t xml:space="preserve">V naslednjem koraku smo </w:t>
      </w:r>
      <w:r w:rsidR="00BE2007" w:rsidRPr="001A67DA">
        <w:rPr>
          <w:rFonts w:ascii="Times New Roman" w:eastAsiaTheme="minorEastAsia" w:hAnsi="Times New Roman" w:cs="Times New Roman"/>
          <w:sz w:val="24"/>
        </w:rPr>
        <w:t>poskušali n</w:t>
      </w:r>
      <w:r w:rsidR="00BF69FC" w:rsidRPr="001A67DA">
        <w:rPr>
          <w:rFonts w:ascii="Times New Roman" w:eastAsiaTheme="minorEastAsia" w:hAnsi="Times New Roman" w:cs="Times New Roman"/>
          <w:sz w:val="24"/>
        </w:rPr>
        <w:t>ajti</w:t>
      </w:r>
      <w:r w:rsidR="00BE2007" w:rsidRPr="001A67DA">
        <w:rPr>
          <w:rFonts w:ascii="Times New Roman" w:eastAsiaTheme="minorEastAsia" w:hAnsi="Times New Roman" w:cs="Times New Roman"/>
          <w:sz w:val="24"/>
        </w:rPr>
        <w:t xml:space="preserve"> beto za panogo in Evropo, ki za SAM predstavlja večina svojega tržišča.</w:t>
      </w:r>
      <w:r w:rsidR="00C11054" w:rsidRPr="001A67DA">
        <w:rPr>
          <w:rFonts w:ascii="Times New Roman" w:eastAsiaTheme="minorEastAsia" w:hAnsi="Times New Roman" w:cs="Times New Roman"/>
          <w:sz w:val="24"/>
        </w:rPr>
        <w:t xml:space="preserve"> Kot je že opisano pri napovedih za stopnjo rasti – g, smo tudi tukaj pri ugotavljanju bet panoge pristopili s previdnostjo. Kot že prej smo se za ugotavljanje bet zatekli na </w:t>
      </w:r>
      <w:proofErr w:type="spellStart"/>
      <w:r w:rsidR="00C11054" w:rsidRPr="001A67DA">
        <w:rPr>
          <w:rFonts w:ascii="Times New Roman" w:eastAsiaTheme="minorEastAsia" w:hAnsi="Times New Roman" w:cs="Times New Roman"/>
          <w:sz w:val="24"/>
        </w:rPr>
        <w:t>Damodaran</w:t>
      </w:r>
      <w:proofErr w:type="spellEnd"/>
      <w:r w:rsidR="00C11054" w:rsidRPr="001A67DA">
        <w:rPr>
          <w:rFonts w:ascii="Times New Roman" w:eastAsiaTheme="minorEastAsia" w:hAnsi="Times New Roman" w:cs="Times New Roman"/>
          <w:sz w:val="24"/>
        </w:rPr>
        <w:t xml:space="preserve"> spletno stran. Izbrali smo torej zabavno panogo in rekreacijsko panogo. Tudi tukaj smo naleteli na težavo, saj bete obeh panog v Evropi nista predstavljali vrednosti, ki naj bi veljala za tovrstne dobrine. Za zabavno panogo v Evropi beta znaša 0,72, za rekreacijsko panogo pa 0,71.</w:t>
      </w:r>
      <w:r w:rsidR="00865E66" w:rsidRPr="001A67DA">
        <w:rPr>
          <w:rFonts w:ascii="Times New Roman" w:eastAsiaTheme="minorEastAsia" w:hAnsi="Times New Roman" w:cs="Times New Roman"/>
          <w:sz w:val="24"/>
        </w:rPr>
        <w:t xml:space="preserve"> Potem pa smo pogledali bete istih sektorjev za trge v ZDA, ki velja za največje tržišče vozil za prosti čas. Razlika je bila očitna, vrednosti pa tudi bolj primerne našim pričakovanjem in razmišljanju. Za zabavni sektor je beta znašala 1,63, medtem kot je za rekreacijski sektor znašala 1,45. Poleg tega smo nato pogledali še beti za dva večja ameriška proizvajalca, ki sta po proizvajalnem programu najbolj podobna našemu. Podatke za ti dve podjetji smo našli </w:t>
      </w:r>
      <w:r w:rsidR="00142300" w:rsidRPr="001A67DA">
        <w:rPr>
          <w:rFonts w:ascii="Times New Roman" w:eastAsiaTheme="minorEastAsia" w:hAnsi="Times New Roman" w:cs="Times New Roman"/>
          <w:sz w:val="24"/>
        </w:rPr>
        <w:t>Google</w:t>
      </w:r>
      <w:r w:rsidR="00865E66" w:rsidRPr="001A67DA">
        <w:rPr>
          <w:rFonts w:ascii="Times New Roman" w:eastAsiaTheme="minorEastAsia" w:hAnsi="Times New Roman" w:cs="Times New Roman"/>
          <w:sz w:val="24"/>
        </w:rPr>
        <w:t xml:space="preserve"> finance, obe pa kotirata na newyorški borzi. Prvo podjetje je </w:t>
      </w:r>
      <w:proofErr w:type="spellStart"/>
      <w:r w:rsidR="00865E66" w:rsidRPr="001A67DA">
        <w:rPr>
          <w:rFonts w:ascii="Times New Roman" w:eastAsiaTheme="minorEastAsia" w:hAnsi="Times New Roman" w:cs="Times New Roman"/>
          <w:sz w:val="24"/>
        </w:rPr>
        <w:t>Winnebago</w:t>
      </w:r>
      <w:proofErr w:type="spellEnd"/>
      <w:r w:rsidR="00865E66" w:rsidRPr="001A67DA">
        <w:rPr>
          <w:rFonts w:ascii="Times New Roman" w:eastAsiaTheme="minorEastAsia" w:hAnsi="Times New Roman" w:cs="Times New Roman"/>
          <w:sz w:val="24"/>
        </w:rPr>
        <w:t xml:space="preserve"> </w:t>
      </w:r>
      <w:proofErr w:type="spellStart"/>
      <w:r w:rsidR="00865E66" w:rsidRPr="001A67DA">
        <w:rPr>
          <w:rFonts w:ascii="Times New Roman" w:eastAsiaTheme="minorEastAsia" w:hAnsi="Times New Roman" w:cs="Times New Roman"/>
          <w:sz w:val="24"/>
        </w:rPr>
        <w:t>Industries</w:t>
      </w:r>
      <w:proofErr w:type="spellEnd"/>
      <w:r w:rsidR="00865E66" w:rsidRPr="001A67DA">
        <w:rPr>
          <w:rFonts w:ascii="Times New Roman" w:eastAsiaTheme="minorEastAsia" w:hAnsi="Times New Roman" w:cs="Times New Roman"/>
          <w:sz w:val="24"/>
        </w:rPr>
        <w:t xml:space="preserve"> </w:t>
      </w:r>
      <w:proofErr w:type="spellStart"/>
      <w:r w:rsidR="00865E66" w:rsidRPr="001A67DA">
        <w:rPr>
          <w:rFonts w:ascii="Times New Roman" w:eastAsiaTheme="minorEastAsia" w:hAnsi="Times New Roman" w:cs="Times New Roman"/>
          <w:sz w:val="24"/>
        </w:rPr>
        <w:t>Inc</w:t>
      </w:r>
      <w:proofErr w:type="spellEnd"/>
      <w:r w:rsidR="00865E66" w:rsidRPr="001A67DA">
        <w:rPr>
          <w:rFonts w:ascii="Times New Roman" w:eastAsiaTheme="minorEastAsia" w:hAnsi="Times New Roman" w:cs="Times New Roman"/>
          <w:sz w:val="24"/>
        </w:rPr>
        <w:t xml:space="preserve">. za katerega velja beta 2,42; drugi pa je </w:t>
      </w:r>
      <w:proofErr w:type="spellStart"/>
      <w:r w:rsidR="00865E66" w:rsidRPr="001A67DA">
        <w:rPr>
          <w:rFonts w:ascii="Times New Roman" w:eastAsiaTheme="minorEastAsia" w:hAnsi="Times New Roman" w:cs="Times New Roman"/>
          <w:sz w:val="24"/>
        </w:rPr>
        <w:t>Thor</w:t>
      </w:r>
      <w:proofErr w:type="spellEnd"/>
      <w:r w:rsidR="00865E66" w:rsidRPr="001A67DA">
        <w:rPr>
          <w:rFonts w:ascii="Times New Roman" w:eastAsiaTheme="minorEastAsia" w:hAnsi="Times New Roman" w:cs="Times New Roman"/>
          <w:sz w:val="24"/>
        </w:rPr>
        <w:t xml:space="preserve"> </w:t>
      </w:r>
      <w:proofErr w:type="spellStart"/>
      <w:r w:rsidR="00865E66" w:rsidRPr="001A67DA">
        <w:rPr>
          <w:rFonts w:ascii="Times New Roman" w:eastAsiaTheme="minorEastAsia" w:hAnsi="Times New Roman" w:cs="Times New Roman"/>
          <w:sz w:val="24"/>
        </w:rPr>
        <w:t>Industries</w:t>
      </w:r>
      <w:proofErr w:type="spellEnd"/>
      <w:r w:rsidR="00865E66" w:rsidRPr="001A67DA">
        <w:rPr>
          <w:rFonts w:ascii="Times New Roman" w:eastAsiaTheme="minorEastAsia" w:hAnsi="Times New Roman" w:cs="Times New Roman"/>
          <w:sz w:val="24"/>
        </w:rPr>
        <w:t xml:space="preserve"> </w:t>
      </w:r>
      <w:proofErr w:type="spellStart"/>
      <w:r w:rsidR="00865E66" w:rsidRPr="001A67DA">
        <w:rPr>
          <w:rFonts w:ascii="Times New Roman" w:eastAsiaTheme="minorEastAsia" w:hAnsi="Times New Roman" w:cs="Times New Roman"/>
          <w:sz w:val="24"/>
        </w:rPr>
        <w:t>Inc</w:t>
      </w:r>
      <w:proofErr w:type="spellEnd"/>
      <w:r w:rsidR="00865E66" w:rsidRPr="001A67DA">
        <w:rPr>
          <w:rFonts w:ascii="Times New Roman" w:eastAsiaTheme="minorEastAsia" w:hAnsi="Times New Roman" w:cs="Times New Roman"/>
          <w:sz w:val="24"/>
        </w:rPr>
        <w:t xml:space="preserve">., beta </w:t>
      </w:r>
      <w:r w:rsidR="00142300" w:rsidRPr="001A67DA">
        <w:rPr>
          <w:rFonts w:ascii="Times New Roman" w:eastAsiaTheme="minorEastAsia" w:hAnsi="Times New Roman" w:cs="Times New Roman"/>
          <w:sz w:val="24"/>
        </w:rPr>
        <w:t>za</w:t>
      </w:r>
      <w:r w:rsidR="00142300">
        <w:rPr>
          <w:rFonts w:ascii="Times New Roman" w:eastAsiaTheme="minorEastAsia" w:hAnsi="Times New Roman" w:cs="Times New Roman"/>
          <w:sz w:val="24"/>
        </w:rPr>
        <w:t xml:space="preserve"> </w:t>
      </w:r>
      <w:r w:rsidR="00142300" w:rsidRPr="001A67DA">
        <w:rPr>
          <w:rFonts w:ascii="Times New Roman" w:eastAsiaTheme="minorEastAsia" w:hAnsi="Times New Roman" w:cs="Times New Roman"/>
          <w:sz w:val="24"/>
        </w:rPr>
        <w:t>nj</w:t>
      </w:r>
      <w:r w:rsidR="00142300">
        <w:rPr>
          <w:rFonts w:ascii="Times New Roman" w:eastAsiaTheme="minorEastAsia" w:hAnsi="Times New Roman" w:cs="Times New Roman"/>
          <w:sz w:val="24"/>
        </w:rPr>
        <w:t>e</w:t>
      </w:r>
      <w:r w:rsidR="00142300" w:rsidRPr="001A67DA">
        <w:rPr>
          <w:rFonts w:ascii="Times New Roman" w:eastAsiaTheme="minorEastAsia" w:hAnsi="Times New Roman" w:cs="Times New Roman"/>
          <w:sz w:val="24"/>
        </w:rPr>
        <w:t>ga</w:t>
      </w:r>
      <w:r w:rsidR="00865E66" w:rsidRPr="001A67DA">
        <w:rPr>
          <w:rFonts w:ascii="Times New Roman" w:eastAsiaTheme="minorEastAsia" w:hAnsi="Times New Roman" w:cs="Times New Roman"/>
          <w:sz w:val="24"/>
        </w:rPr>
        <w:t xml:space="preserve"> pa znaša 1,99. </w:t>
      </w:r>
      <w:r w:rsidR="00B81450" w:rsidRPr="001A67DA">
        <w:rPr>
          <w:rFonts w:ascii="Times New Roman" w:eastAsiaTheme="minorEastAsia" w:hAnsi="Times New Roman" w:cs="Times New Roman"/>
          <w:sz w:val="24"/>
        </w:rPr>
        <w:t xml:space="preserve">Za </w:t>
      </w:r>
      <w:proofErr w:type="spellStart"/>
      <w:r w:rsidR="00B81450" w:rsidRPr="001A67DA">
        <w:rPr>
          <w:rFonts w:ascii="Times New Roman" w:eastAsiaTheme="minorEastAsia" w:hAnsi="Times New Roman" w:cs="Times New Roman"/>
          <w:sz w:val="24"/>
        </w:rPr>
        <w:t>Adrio</w:t>
      </w:r>
      <w:proofErr w:type="spellEnd"/>
      <w:r w:rsidR="00B81450" w:rsidRPr="001A67DA">
        <w:rPr>
          <w:rFonts w:ascii="Times New Roman" w:eastAsiaTheme="minorEastAsia" w:hAnsi="Times New Roman" w:cs="Times New Roman"/>
          <w:sz w:val="24"/>
        </w:rPr>
        <w:t xml:space="preserve"> </w:t>
      </w:r>
      <w:proofErr w:type="spellStart"/>
      <w:r w:rsidR="00B81450" w:rsidRPr="001A67DA">
        <w:rPr>
          <w:rFonts w:ascii="Times New Roman" w:eastAsiaTheme="minorEastAsia" w:hAnsi="Times New Roman" w:cs="Times New Roman"/>
          <w:sz w:val="24"/>
        </w:rPr>
        <w:t>Mobil</w:t>
      </w:r>
      <w:proofErr w:type="spellEnd"/>
      <w:r w:rsidR="00B81450" w:rsidRPr="001A67DA">
        <w:rPr>
          <w:rFonts w:ascii="Times New Roman" w:eastAsiaTheme="minorEastAsia" w:hAnsi="Times New Roman" w:cs="Times New Roman"/>
          <w:sz w:val="24"/>
        </w:rPr>
        <w:t xml:space="preserve"> smo se odločili, da bomo vzeli kar beto konkurenta </w:t>
      </w:r>
      <w:proofErr w:type="spellStart"/>
      <w:r w:rsidR="00B81450" w:rsidRPr="001A67DA">
        <w:rPr>
          <w:rFonts w:ascii="Times New Roman" w:eastAsiaTheme="minorEastAsia" w:hAnsi="Times New Roman" w:cs="Times New Roman"/>
          <w:sz w:val="24"/>
        </w:rPr>
        <w:t>Trigano</w:t>
      </w:r>
      <w:proofErr w:type="spellEnd"/>
      <w:r w:rsidR="00C94B2E" w:rsidRPr="001A67DA">
        <w:rPr>
          <w:rFonts w:ascii="Times New Roman" w:eastAsiaTheme="minorEastAsia" w:hAnsi="Times New Roman" w:cs="Times New Roman"/>
          <w:sz w:val="24"/>
        </w:rPr>
        <w:t xml:space="preserve"> (1,3)</w:t>
      </w:r>
      <w:r w:rsidR="00B81450" w:rsidRPr="001A67DA">
        <w:rPr>
          <w:rFonts w:ascii="Times New Roman" w:eastAsiaTheme="minorEastAsia" w:hAnsi="Times New Roman" w:cs="Times New Roman"/>
          <w:sz w:val="24"/>
        </w:rPr>
        <w:t>, ki hkrati predstavlja tipično gibanje luksuznih izdelkov, ob enem pa je tudi neka srednja vrednost med evropskim in, za panogo bolj značilnim, ameriškim trgom.</w:t>
      </w:r>
    </w:p>
    <w:p w:rsidR="00DA0F81" w:rsidRPr="001A67DA" w:rsidRDefault="008D42AD" w:rsidP="002F04D4">
      <w:pPr>
        <w:spacing w:line="360" w:lineRule="auto"/>
        <w:jc w:val="both"/>
        <w:rPr>
          <w:rFonts w:ascii="Times New Roman" w:eastAsiaTheme="minorEastAsia" w:hAnsi="Times New Roman" w:cs="Times New Roman"/>
          <w:sz w:val="24"/>
        </w:rPr>
      </w:pPr>
      <w:r w:rsidRPr="001A67DA">
        <w:rPr>
          <w:rFonts w:ascii="Times New Roman" w:eastAsiaTheme="minorEastAsia" w:hAnsi="Times New Roman" w:cs="Times New Roman"/>
          <w:sz w:val="24"/>
        </w:rPr>
        <w:t xml:space="preserve">Zahtevana stopnja donosa lastniškega kapitala po CAPM modelu torej znaša </w:t>
      </w:r>
      <m:oMath>
        <m:r>
          <w:rPr>
            <w:rFonts w:ascii="Cambria Math" w:eastAsiaTheme="minorEastAsia" w:hAnsi="Cambria Math" w:cs="Times New Roman"/>
            <w:sz w:val="24"/>
          </w:rPr>
          <m:t>1,88%+7,28%*1,3=11,34%</m:t>
        </m:r>
      </m:oMath>
      <w:r w:rsidRPr="001A67DA">
        <w:rPr>
          <w:rFonts w:ascii="Times New Roman" w:eastAsiaTheme="minorEastAsia" w:hAnsi="Times New Roman" w:cs="Times New Roman"/>
          <w:sz w:val="24"/>
        </w:rPr>
        <w:t>.</w:t>
      </w:r>
    </w:p>
    <w:p w:rsidR="008D42AD" w:rsidRPr="003F525E" w:rsidRDefault="008D42AD" w:rsidP="00AD6EDE">
      <w:pPr>
        <w:pStyle w:val="Heading3"/>
        <w:numPr>
          <w:ilvl w:val="2"/>
          <w:numId w:val="4"/>
        </w:numPr>
        <w:spacing w:before="0" w:after="120"/>
        <w:rPr>
          <w:rFonts w:eastAsiaTheme="minorEastAsia"/>
          <w:sz w:val="24"/>
        </w:rPr>
      </w:pPr>
      <w:bookmarkStart w:id="19" w:name="_Toc327382755"/>
      <w:r w:rsidRPr="003F525E">
        <w:rPr>
          <w:rFonts w:eastAsiaTheme="minorEastAsia"/>
          <w:sz w:val="24"/>
        </w:rPr>
        <w:t xml:space="preserve">Izračun tehtanega stroška kapitala za Skupino Adria </w:t>
      </w:r>
      <w:proofErr w:type="spellStart"/>
      <w:r w:rsidRPr="003F525E">
        <w:rPr>
          <w:rFonts w:eastAsiaTheme="minorEastAsia"/>
          <w:sz w:val="24"/>
        </w:rPr>
        <w:t>Mobil</w:t>
      </w:r>
      <w:bookmarkEnd w:id="19"/>
      <w:proofErr w:type="spellEnd"/>
    </w:p>
    <w:p w:rsidR="008D42AD" w:rsidRPr="001A67DA" w:rsidRDefault="008D42AD" w:rsidP="002F04D4">
      <w:pPr>
        <w:spacing w:line="360" w:lineRule="auto"/>
        <w:jc w:val="both"/>
        <w:rPr>
          <w:rFonts w:ascii="Times New Roman" w:eastAsiaTheme="minorEastAsia" w:hAnsi="Times New Roman" w:cs="Times New Roman"/>
          <w:sz w:val="24"/>
        </w:rPr>
      </w:pPr>
      <w:r w:rsidRPr="001A67DA">
        <w:rPr>
          <w:rFonts w:ascii="Times New Roman" w:eastAsiaTheme="minorEastAsia" w:hAnsi="Times New Roman" w:cs="Times New Roman"/>
          <w:sz w:val="24"/>
        </w:rPr>
        <w:t xml:space="preserve">WACC se torej izračuna tako, da se med delež kapitala pomnoži z zahtevano donosnostjo kapitala in se temu zmnožku prišteje zmnožek med </w:t>
      </w:r>
      <w:r w:rsidR="00BF69FC" w:rsidRPr="001A67DA">
        <w:rPr>
          <w:rFonts w:ascii="Times New Roman" w:eastAsiaTheme="minorEastAsia" w:hAnsi="Times New Roman" w:cs="Times New Roman"/>
          <w:sz w:val="24"/>
        </w:rPr>
        <w:t>deležem</w:t>
      </w:r>
      <w:r w:rsidRPr="001A67DA">
        <w:rPr>
          <w:rFonts w:ascii="Times New Roman" w:eastAsiaTheme="minorEastAsia" w:hAnsi="Times New Roman" w:cs="Times New Roman"/>
          <w:sz w:val="24"/>
        </w:rPr>
        <w:t xml:space="preserve"> dolga in povprečno obrestno mero po davku.</w:t>
      </w:r>
    </w:p>
    <w:p w:rsidR="008D42AD" w:rsidRPr="001A67DA" w:rsidRDefault="0075360A" w:rsidP="002F04D4">
      <w:pPr>
        <w:spacing w:line="360" w:lineRule="auto"/>
        <w:jc w:val="both"/>
        <w:rPr>
          <w:rFonts w:ascii="Times New Roman" w:eastAsiaTheme="minorEastAsia" w:hAnsi="Times New Roman" w:cs="Times New Roman"/>
          <w:b/>
          <w:sz w:val="24"/>
        </w:rPr>
      </w:pPr>
      <m:oMathPara>
        <m:oMath>
          <m:r>
            <w:rPr>
              <w:rFonts w:ascii="Cambria Math" w:eastAsiaTheme="minorEastAsia" w:hAnsi="Cambria Math" w:cs="Times New Roman"/>
              <w:sz w:val="24"/>
            </w:rPr>
            <m:t>WACC=39,23%*11,34%+60,77%*5,89%=</m:t>
          </m:r>
          <m:r>
            <m:rPr>
              <m:sty m:val="bi"/>
            </m:rPr>
            <w:rPr>
              <w:rFonts w:ascii="Cambria Math" w:eastAsiaTheme="minorEastAsia" w:hAnsi="Cambria Math" w:cs="Times New Roman"/>
              <w:sz w:val="24"/>
            </w:rPr>
            <m:t>8,02%</m:t>
          </m:r>
        </m:oMath>
      </m:oMathPara>
    </w:p>
    <w:p w:rsidR="0075360A" w:rsidRPr="001A67DA" w:rsidRDefault="0075360A" w:rsidP="002F04D4">
      <w:pPr>
        <w:spacing w:line="360" w:lineRule="auto"/>
        <w:jc w:val="both"/>
        <w:rPr>
          <w:rFonts w:ascii="Times New Roman" w:eastAsiaTheme="minorEastAsia" w:hAnsi="Times New Roman" w:cs="Times New Roman"/>
          <w:sz w:val="24"/>
        </w:rPr>
      </w:pPr>
      <w:r w:rsidRPr="001A67DA">
        <w:rPr>
          <w:rFonts w:ascii="Times New Roman" w:eastAsiaTheme="minorEastAsia" w:hAnsi="Times New Roman" w:cs="Times New Roman"/>
          <w:sz w:val="24"/>
        </w:rPr>
        <w:t>Če primerjamo dobljeni WACC z izračuni za obe panogi (</w:t>
      </w:r>
      <w:proofErr w:type="spellStart"/>
      <w:r w:rsidRPr="001A67DA">
        <w:rPr>
          <w:rFonts w:ascii="Times New Roman" w:eastAsiaTheme="minorEastAsia" w:hAnsi="Times New Roman" w:cs="Times New Roman"/>
          <w:sz w:val="24"/>
        </w:rPr>
        <w:t>Damodaran</w:t>
      </w:r>
      <w:proofErr w:type="spellEnd"/>
      <w:r w:rsidRPr="001A67DA">
        <w:rPr>
          <w:rFonts w:ascii="Times New Roman" w:eastAsiaTheme="minorEastAsia" w:hAnsi="Times New Roman" w:cs="Times New Roman"/>
          <w:sz w:val="24"/>
        </w:rPr>
        <w:t>), lahko vidimo, da je WACC za zabavno panogo 9,76%; za rekreacijsko panogo pa 8,19%.</w:t>
      </w:r>
    </w:p>
    <w:p w:rsidR="00F34AFB" w:rsidRPr="001A67DA" w:rsidRDefault="00A50B04" w:rsidP="002F04D4">
      <w:pPr>
        <w:spacing w:line="360" w:lineRule="auto"/>
        <w:jc w:val="both"/>
        <w:rPr>
          <w:rFonts w:ascii="Times New Roman" w:eastAsiaTheme="minorEastAsia" w:hAnsi="Times New Roman" w:cs="Times New Roman"/>
          <w:sz w:val="24"/>
        </w:rPr>
      </w:pPr>
      <w:r w:rsidRPr="001A67DA">
        <w:rPr>
          <w:rFonts w:ascii="Times New Roman" w:eastAsiaTheme="minorEastAsia" w:hAnsi="Times New Roman" w:cs="Times New Roman"/>
          <w:sz w:val="24"/>
        </w:rPr>
        <w:lastRenderedPageBreak/>
        <w:t xml:space="preserve">WACC uporabimo kot diskontni faktor za izračun sedanje vrednosti bodočih denarnih tokov. Ker smo skušali natančneje napovedati denarne tokove do leta 2015, za izračun vrednosti podjetja tako uporabimo metodo diskontiranih denarnih tokov. </w:t>
      </w:r>
    </w:p>
    <w:p w:rsidR="00F34AFB" w:rsidRDefault="00F34AFB" w:rsidP="00AD6EDE">
      <w:pPr>
        <w:pStyle w:val="Heading2"/>
        <w:numPr>
          <w:ilvl w:val="1"/>
          <w:numId w:val="4"/>
        </w:numPr>
        <w:spacing w:before="0" w:after="120"/>
        <w:rPr>
          <w:rFonts w:eastAsiaTheme="minorEastAsia"/>
        </w:rPr>
      </w:pPr>
      <w:bookmarkStart w:id="20" w:name="_Toc327382756"/>
      <w:r>
        <w:rPr>
          <w:rFonts w:eastAsiaTheme="minorEastAsia"/>
        </w:rPr>
        <w:t>KONČNI REZULTAT – VREDNOST PODJETJA IN LASTNIŠKEGA KAPITALA</w:t>
      </w:r>
      <w:bookmarkEnd w:id="20"/>
    </w:p>
    <w:p w:rsidR="00A50B04" w:rsidRPr="001A67DA" w:rsidRDefault="00A50B04" w:rsidP="002F04D4">
      <w:pPr>
        <w:spacing w:line="360" w:lineRule="auto"/>
        <w:jc w:val="both"/>
        <w:rPr>
          <w:rFonts w:ascii="Times New Roman" w:eastAsiaTheme="minorEastAsia" w:hAnsi="Times New Roman" w:cs="Times New Roman"/>
          <w:sz w:val="24"/>
        </w:rPr>
      </w:pPr>
      <w:r w:rsidRPr="001A67DA">
        <w:rPr>
          <w:rFonts w:ascii="Times New Roman" w:eastAsiaTheme="minorEastAsia" w:hAnsi="Times New Roman" w:cs="Times New Roman"/>
          <w:sz w:val="24"/>
        </w:rPr>
        <w:t xml:space="preserve">V </w:t>
      </w:r>
      <w:r w:rsidR="00F34AFB" w:rsidRPr="001A67DA">
        <w:rPr>
          <w:rFonts w:ascii="Times New Roman" w:eastAsiaTheme="minorEastAsia" w:hAnsi="Times New Roman" w:cs="Times New Roman"/>
          <w:sz w:val="24"/>
        </w:rPr>
        <w:t xml:space="preserve">tem </w:t>
      </w:r>
      <w:r w:rsidR="00BF69FC" w:rsidRPr="001A67DA">
        <w:rPr>
          <w:rFonts w:ascii="Times New Roman" w:eastAsiaTheme="minorEastAsia" w:hAnsi="Times New Roman" w:cs="Times New Roman"/>
          <w:sz w:val="24"/>
        </w:rPr>
        <w:t>delu</w:t>
      </w:r>
      <w:r w:rsidRPr="001A67DA">
        <w:rPr>
          <w:rFonts w:ascii="Times New Roman" w:eastAsiaTheme="minorEastAsia" w:hAnsi="Times New Roman" w:cs="Times New Roman"/>
          <w:sz w:val="24"/>
        </w:rPr>
        <w:t xml:space="preserve"> torej predstavljamo izračun ocene vrednosti podjetja in za tem še vrednost lastniškega kapitala. Enačba, ki smo jo uporabili je:</w:t>
      </w:r>
    </w:p>
    <w:p w:rsidR="00E8192A" w:rsidRPr="00A33C0A" w:rsidRDefault="00293E8B" w:rsidP="002F04D4">
      <w:pPr>
        <w:spacing w:line="360" w:lineRule="auto"/>
        <w:jc w:val="both"/>
        <w:rPr>
          <w:rFonts w:eastAsiaTheme="minorEastAsia"/>
          <w:sz w:val="18"/>
        </w:rPr>
      </w:pPr>
      <m:oMathPara>
        <m:oMath>
          <m:sSub>
            <m:sSubPr>
              <m:ctrlPr>
                <w:rPr>
                  <w:rFonts w:ascii="Cambria Math" w:eastAsiaTheme="minorEastAsia" w:hAnsi="Cambria Math"/>
                  <w:i/>
                  <w:sz w:val="18"/>
                </w:rPr>
              </m:ctrlPr>
            </m:sSubPr>
            <m:e>
              <m:r>
                <w:rPr>
                  <w:rFonts w:ascii="Cambria Math" w:eastAsiaTheme="minorEastAsia" w:hAnsi="Cambria Math"/>
                  <w:sz w:val="18"/>
                </w:rPr>
                <m:t>P</m:t>
              </m:r>
            </m:e>
            <m:sub>
              <m:r>
                <w:rPr>
                  <w:rFonts w:ascii="Cambria Math" w:eastAsiaTheme="minorEastAsia" w:hAnsi="Cambria Math"/>
                  <w:sz w:val="18"/>
                </w:rPr>
                <m:t>0</m:t>
              </m:r>
            </m:sub>
          </m:sSub>
          <m:r>
            <w:rPr>
              <w:rFonts w:ascii="Cambria Math" w:eastAsiaTheme="minorEastAsia" w:hAnsi="Cambria Math"/>
              <w:sz w:val="18"/>
            </w:rPr>
            <m:t>=</m:t>
          </m:r>
          <m:f>
            <m:fPr>
              <m:ctrlPr>
                <w:rPr>
                  <w:rFonts w:ascii="Cambria Math" w:eastAsiaTheme="minorEastAsia" w:hAnsi="Cambria Math"/>
                  <w:i/>
                  <w:sz w:val="18"/>
                </w:rPr>
              </m:ctrlPr>
            </m:fPr>
            <m:num>
              <m:sSub>
                <m:sSubPr>
                  <m:ctrlPr>
                    <w:rPr>
                      <w:rFonts w:ascii="Cambria Math" w:eastAsiaTheme="minorEastAsia" w:hAnsi="Cambria Math"/>
                      <w:i/>
                      <w:sz w:val="18"/>
                    </w:rPr>
                  </m:ctrlPr>
                </m:sSubPr>
                <m:e>
                  <m:r>
                    <w:rPr>
                      <w:rFonts w:ascii="Cambria Math" w:eastAsiaTheme="minorEastAsia" w:hAnsi="Cambria Math"/>
                      <w:sz w:val="18"/>
                    </w:rPr>
                    <m:t>FCFF</m:t>
                  </m:r>
                </m:e>
                <m:sub>
                  <m:r>
                    <w:rPr>
                      <w:rFonts w:ascii="Cambria Math" w:eastAsiaTheme="minorEastAsia" w:hAnsi="Cambria Math"/>
                      <w:sz w:val="18"/>
                    </w:rPr>
                    <m:t>2011</m:t>
                  </m:r>
                </m:sub>
              </m:sSub>
            </m:num>
            <m:den>
              <m:sSup>
                <m:sSupPr>
                  <m:ctrlPr>
                    <w:rPr>
                      <w:rFonts w:ascii="Cambria Math" w:eastAsiaTheme="minorEastAsia" w:hAnsi="Cambria Math"/>
                      <w:i/>
                      <w:sz w:val="18"/>
                    </w:rPr>
                  </m:ctrlPr>
                </m:sSupPr>
                <m:e>
                  <m:r>
                    <w:rPr>
                      <w:rFonts w:ascii="Cambria Math" w:eastAsiaTheme="minorEastAsia" w:hAnsi="Cambria Math"/>
                      <w:sz w:val="18"/>
                    </w:rPr>
                    <m:t>(1+WACC)</m:t>
                  </m:r>
                </m:e>
                <m:sup>
                  <m:r>
                    <w:rPr>
                      <w:rFonts w:ascii="Cambria Math" w:eastAsiaTheme="minorEastAsia" w:hAnsi="Cambria Math"/>
                      <w:sz w:val="18"/>
                    </w:rPr>
                    <m:t>1</m:t>
                  </m:r>
                </m:sup>
              </m:sSup>
            </m:den>
          </m:f>
          <m:r>
            <w:rPr>
              <w:rFonts w:ascii="Cambria Math" w:eastAsiaTheme="minorEastAsia" w:hAnsi="Cambria Math"/>
              <w:sz w:val="18"/>
            </w:rPr>
            <m:t>+</m:t>
          </m:r>
          <m:f>
            <m:fPr>
              <m:ctrlPr>
                <w:rPr>
                  <w:rFonts w:ascii="Cambria Math" w:eastAsiaTheme="minorEastAsia" w:hAnsi="Cambria Math"/>
                  <w:i/>
                  <w:sz w:val="18"/>
                </w:rPr>
              </m:ctrlPr>
            </m:fPr>
            <m:num>
              <m:sSub>
                <m:sSubPr>
                  <m:ctrlPr>
                    <w:rPr>
                      <w:rFonts w:ascii="Cambria Math" w:eastAsiaTheme="minorEastAsia" w:hAnsi="Cambria Math"/>
                      <w:i/>
                      <w:sz w:val="18"/>
                    </w:rPr>
                  </m:ctrlPr>
                </m:sSubPr>
                <m:e>
                  <m:r>
                    <w:rPr>
                      <w:rFonts w:ascii="Cambria Math" w:eastAsiaTheme="minorEastAsia" w:hAnsi="Cambria Math"/>
                      <w:sz w:val="18"/>
                    </w:rPr>
                    <m:t>FCFF</m:t>
                  </m:r>
                </m:e>
                <m:sub>
                  <m:r>
                    <w:rPr>
                      <w:rFonts w:ascii="Cambria Math" w:eastAsiaTheme="minorEastAsia" w:hAnsi="Cambria Math"/>
                      <w:sz w:val="18"/>
                    </w:rPr>
                    <m:t>2012</m:t>
                  </m:r>
                </m:sub>
              </m:sSub>
            </m:num>
            <m:den>
              <m:sSup>
                <m:sSupPr>
                  <m:ctrlPr>
                    <w:rPr>
                      <w:rFonts w:ascii="Cambria Math" w:eastAsiaTheme="minorEastAsia" w:hAnsi="Cambria Math"/>
                      <w:i/>
                      <w:sz w:val="18"/>
                    </w:rPr>
                  </m:ctrlPr>
                </m:sSupPr>
                <m:e>
                  <m:r>
                    <w:rPr>
                      <w:rFonts w:ascii="Cambria Math" w:eastAsiaTheme="minorEastAsia" w:hAnsi="Cambria Math"/>
                      <w:sz w:val="18"/>
                    </w:rPr>
                    <m:t>(1+WACC)</m:t>
                  </m:r>
                </m:e>
                <m:sup>
                  <m:r>
                    <w:rPr>
                      <w:rFonts w:ascii="Cambria Math" w:eastAsiaTheme="minorEastAsia" w:hAnsi="Cambria Math"/>
                      <w:sz w:val="18"/>
                    </w:rPr>
                    <m:t>2</m:t>
                  </m:r>
                </m:sup>
              </m:sSup>
            </m:den>
          </m:f>
          <m:r>
            <w:rPr>
              <w:rFonts w:ascii="Cambria Math" w:eastAsiaTheme="minorEastAsia" w:hAnsi="Cambria Math"/>
              <w:sz w:val="18"/>
            </w:rPr>
            <m:t>+</m:t>
          </m:r>
          <m:f>
            <m:fPr>
              <m:ctrlPr>
                <w:rPr>
                  <w:rFonts w:ascii="Cambria Math" w:eastAsiaTheme="minorEastAsia" w:hAnsi="Cambria Math"/>
                  <w:i/>
                  <w:sz w:val="18"/>
                </w:rPr>
              </m:ctrlPr>
            </m:fPr>
            <m:num>
              <m:sSub>
                <m:sSubPr>
                  <m:ctrlPr>
                    <w:rPr>
                      <w:rFonts w:ascii="Cambria Math" w:eastAsiaTheme="minorEastAsia" w:hAnsi="Cambria Math"/>
                      <w:i/>
                      <w:sz w:val="18"/>
                    </w:rPr>
                  </m:ctrlPr>
                </m:sSubPr>
                <m:e>
                  <m:r>
                    <w:rPr>
                      <w:rFonts w:ascii="Cambria Math" w:eastAsiaTheme="minorEastAsia" w:hAnsi="Cambria Math"/>
                      <w:sz w:val="18"/>
                    </w:rPr>
                    <m:t>FCFF</m:t>
                  </m:r>
                </m:e>
                <m:sub>
                  <m:r>
                    <w:rPr>
                      <w:rFonts w:ascii="Cambria Math" w:eastAsiaTheme="minorEastAsia" w:hAnsi="Cambria Math"/>
                      <w:sz w:val="18"/>
                    </w:rPr>
                    <m:t>2013</m:t>
                  </m:r>
                </m:sub>
              </m:sSub>
            </m:num>
            <m:den>
              <m:sSup>
                <m:sSupPr>
                  <m:ctrlPr>
                    <w:rPr>
                      <w:rFonts w:ascii="Cambria Math" w:eastAsiaTheme="minorEastAsia" w:hAnsi="Cambria Math"/>
                      <w:i/>
                      <w:sz w:val="18"/>
                    </w:rPr>
                  </m:ctrlPr>
                </m:sSupPr>
                <m:e>
                  <m:r>
                    <w:rPr>
                      <w:rFonts w:ascii="Cambria Math" w:eastAsiaTheme="minorEastAsia" w:hAnsi="Cambria Math"/>
                      <w:sz w:val="18"/>
                    </w:rPr>
                    <m:t>(1+WACC)</m:t>
                  </m:r>
                </m:e>
                <m:sup>
                  <m:r>
                    <w:rPr>
                      <w:rFonts w:ascii="Cambria Math" w:eastAsiaTheme="minorEastAsia" w:hAnsi="Cambria Math"/>
                      <w:sz w:val="18"/>
                    </w:rPr>
                    <m:t>3</m:t>
                  </m:r>
                </m:sup>
              </m:sSup>
            </m:den>
          </m:f>
          <m:r>
            <w:rPr>
              <w:rFonts w:ascii="Cambria Math" w:eastAsiaTheme="minorEastAsia" w:hAnsi="Cambria Math"/>
              <w:sz w:val="18"/>
            </w:rPr>
            <m:t>+</m:t>
          </m:r>
          <m:f>
            <m:fPr>
              <m:ctrlPr>
                <w:rPr>
                  <w:rFonts w:ascii="Cambria Math" w:eastAsiaTheme="minorEastAsia" w:hAnsi="Cambria Math"/>
                  <w:i/>
                  <w:sz w:val="18"/>
                </w:rPr>
              </m:ctrlPr>
            </m:fPr>
            <m:num>
              <m:sSub>
                <m:sSubPr>
                  <m:ctrlPr>
                    <w:rPr>
                      <w:rFonts w:ascii="Cambria Math" w:eastAsiaTheme="minorEastAsia" w:hAnsi="Cambria Math"/>
                      <w:i/>
                      <w:sz w:val="18"/>
                    </w:rPr>
                  </m:ctrlPr>
                </m:sSubPr>
                <m:e>
                  <m:r>
                    <w:rPr>
                      <w:rFonts w:ascii="Cambria Math" w:eastAsiaTheme="minorEastAsia" w:hAnsi="Cambria Math"/>
                      <w:sz w:val="18"/>
                    </w:rPr>
                    <m:t>FCFF</m:t>
                  </m:r>
                </m:e>
                <m:sub>
                  <m:r>
                    <w:rPr>
                      <w:rFonts w:ascii="Cambria Math" w:eastAsiaTheme="minorEastAsia" w:hAnsi="Cambria Math"/>
                      <w:sz w:val="18"/>
                    </w:rPr>
                    <m:t>2041</m:t>
                  </m:r>
                </m:sub>
              </m:sSub>
            </m:num>
            <m:den>
              <m:sSup>
                <m:sSupPr>
                  <m:ctrlPr>
                    <w:rPr>
                      <w:rFonts w:ascii="Cambria Math" w:eastAsiaTheme="minorEastAsia" w:hAnsi="Cambria Math"/>
                      <w:i/>
                      <w:sz w:val="18"/>
                    </w:rPr>
                  </m:ctrlPr>
                </m:sSupPr>
                <m:e>
                  <m:r>
                    <w:rPr>
                      <w:rFonts w:ascii="Cambria Math" w:eastAsiaTheme="minorEastAsia" w:hAnsi="Cambria Math"/>
                      <w:sz w:val="18"/>
                    </w:rPr>
                    <m:t>(1+WACC)</m:t>
                  </m:r>
                </m:e>
                <m:sup>
                  <m:r>
                    <w:rPr>
                      <w:rFonts w:ascii="Cambria Math" w:eastAsiaTheme="minorEastAsia" w:hAnsi="Cambria Math"/>
                      <w:sz w:val="18"/>
                    </w:rPr>
                    <m:t>4</m:t>
                  </m:r>
                </m:sup>
              </m:sSup>
            </m:den>
          </m:f>
          <m:r>
            <w:rPr>
              <w:rFonts w:ascii="Cambria Math" w:eastAsiaTheme="minorEastAsia" w:hAnsi="Cambria Math"/>
              <w:sz w:val="18"/>
            </w:rPr>
            <m:t>+</m:t>
          </m:r>
          <m:f>
            <m:fPr>
              <m:ctrlPr>
                <w:rPr>
                  <w:rFonts w:ascii="Cambria Math" w:eastAsiaTheme="minorEastAsia" w:hAnsi="Cambria Math"/>
                  <w:i/>
                  <w:sz w:val="18"/>
                </w:rPr>
              </m:ctrlPr>
            </m:fPr>
            <m:num>
              <m:sSub>
                <m:sSubPr>
                  <m:ctrlPr>
                    <w:rPr>
                      <w:rFonts w:ascii="Cambria Math" w:eastAsiaTheme="minorEastAsia" w:hAnsi="Cambria Math"/>
                      <w:i/>
                      <w:sz w:val="18"/>
                    </w:rPr>
                  </m:ctrlPr>
                </m:sSubPr>
                <m:e>
                  <m:r>
                    <w:rPr>
                      <w:rFonts w:ascii="Cambria Math" w:eastAsiaTheme="minorEastAsia" w:hAnsi="Cambria Math"/>
                      <w:sz w:val="18"/>
                    </w:rPr>
                    <m:t>FCFF</m:t>
                  </m:r>
                </m:e>
                <m:sub>
                  <m:r>
                    <w:rPr>
                      <w:rFonts w:ascii="Cambria Math" w:eastAsiaTheme="minorEastAsia" w:hAnsi="Cambria Math"/>
                      <w:sz w:val="18"/>
                    </w:rPr>
                    <m:t>2015</m:t>
                  </m:r>
                </m:sub>
              </m:sSub>
            </m:num>
            <m:den>
              <m:sSup>
                <m:sSupPr>
                  <m:ctrlPr>
                    <w:rPr>
                      <w:rFonts w:ascii="Cambria Math" w:eastAsiaTheme="minorEastAsia" w:hAnsi="Cambria Math"/>
                      <w:i/>
                      <w:sz w:val="18"/>
                    </w:rPr>
                  </m:ctrlPr>
                </m:sSupPr>
                <m:e>
                  <m:r>
                    <w:rPr>
                      <w:rFonts w:ascii="Cambria Math" w:eastAsiaTheme="minorEastAsia" w:hAnsi="Cambria Math"/>
                      <w:sz w:val="18"/>
                    </w:rPr>
                    <m:t>(1+WACC)</m:t>
                  </m:r>
                </m:e>
                <m:sup>
                  <m:r>
                    <w:rPr>
                      <w:rFonts w:ascii="Cambria Math" w:eastAsiaTheme="minorEastAsia" w:hAnsi="Cambria Math"/>
                      <w:sz w:val="18"/>
                    </w:rPr>
                    <m:t>5</m:t>
                  </m:r>
                </m:sup>
              </m:sSup>
            </m:den>
          </m:f>
          <m:r>
            <w:rPr>
              <w:rFonts w:ascii="Cambria Math" w:eastAsiaTheme="minorEastAsia" w:hAnsi="Cambria Math"/>
              <w:sz w:val="18"/>
            </w:rPr>
            <m:t>+</m:t>
          </m:r>
          <m:f>
            <m:fPr>
              <m:ctrlPr>
                <w:rPr>
                  <w:rFonts w:ascii="Cambria Math" w:eastAsiaTheme="minorEastAsia" w:hAnsi="Cambria Math"/>
                  <w:i/>
                  <w:sz w:val="18"/>
                </w:rPr>
              </m:ctrlPr>
            </m:fPr>
            <m:num>
              <m:f>
                <m:fPr>
                  <m:ctrlPr>
                    <w:rPr>
                      <w:rFonts w:ascii="Cambria Math" w:eastAsiaTheme="minorEastAsia" w:hAnsi="Cambria Math"/>
                      <w:i/>
                      <w:sz w:val="18"/>
                    </w:rPr>
                  </m:ctrlPr>
                </m:fPr>
                <m:num>
                  <m:sSub>
                    <m:sSubPr>
                      <m:ctrlPr>
                        <w:rPr>
                          <w:rFonts w:ascii="Cambria Math" w:eastAsiaTheme="minorEastAsia" w:hAnsi="Cambria Math"/>
                          <w:i/>
                          <w:sz w:val="18"/>
                        </w:rPr>
                      </m:ctrlPr>
                    </m:sSubPr>
                    <m:e>
                      <m:r>
                        <w:rPr>
                          <w:rFonts w:ascii="Cambria Math" w:eastAsiaTheme="minorEastAsia" w:hAnsi="Cambria Math"/>
                          <w:sz w:val="18"/>
                        </w:rPr>
                        <m:t>FCFF</m:t>
                      </m:r>
                    </m:e>
                    <m:sub>
                      <m:r>
                        <w:rPr>
                          <w:rFonts w:ascii="Cambria Math" w:eastAsiaTheme="minorEastAsia" w:hAnsi="Cambria Math"/>
                          <w:sz w:val="18"/>
                        </w:rPr>
                        <m:t>2015</m:t>
                      </m:r>
                    </m:sub>
                  </m:sSub>
                  <m:r>
                    <w:rPr>
                      <w:rFonts w:ascii="Cambria Math" w:eastAsiaTheme="minorEastAsia" w:hAnsi="Cambria Math"/>
                      <w:sz w:val="18"/>
                    </w:rPr>
                    <m:t>*(1+g)</m:t>
                  </m:r>
                </m:num>
                <m:den>
                  <m:r>
                    <w:rPr>
                      <w:rFonts w:ascii="Cambria Math" w:eastAsiaTheme="minorEastAsia" w:hAnsi="Cambria Math"/>
                      <w:sz w:val="18"/>
                    </w:rPr>
                    <m:t>WACC-g</m:t>
                  </m:r>
                </m:den>
              </m:f>
            </m:num>
            <m:den>
              <m:sSup>
                <m:sSupPr>
                  <m:ctrlPr>
                    <w:rPr>
                      <w:rFonts w:ascii="Cambria Math" w:eastAsiaTheme="minorEastAsia" w:hAnsi="Cambria Math"/>
                      <w:i/>
                      <w:sz w:val="18"/>
                    </w:rPr>
                  </m:ctrlPr>
                </m:sSupPr>
                <m:e>
                  <m:r>
                    <w:rPr>
                      <w:rFonts w:ascii="Cambria Math" w:eastAsiaTheme="minorEastAsia" w:hAnsi="Cambria Math"/>
                      <w:sz w:val="18"/>
                    </w:rPr>
                    <m:t>(1+WACC)</m:t>
                  </m:r>
                </m:e>
                <m:sup>
                  <m:r>
                    <w:rPr>
                      <w:rFonts w:ascii="Cambria Math" w:eastAsiaTheme="minorEastAsia" w:hAnsi="Cambria Math"/>
                      <w:sz w:val="18"/>
                    </w:rPr>
                    <m:t>5</m:t>
                  </m:r>
                </m:sup>
              </m:sSup>
            </m:den>
          </m:f>
        </m:oMath>
      </m:oMathPara>
    </w:p>
    <w:p w:rsidR="001B75E2" w:rsidRPr="00753C43" w:rsidRDefault="00753C43" w:rsidP="00753C43">
      <w:pPr>
        <w:pStyle w:val="Caption"/>
        <w:spacing w:after="120"/>
        <w:jc w:val="center"/>
        <w:rPr>
          <w:rFonts w:ascii="Times New Roman" w:hAnsi="Times New Roman" w:cs="Times New Roman"/>
          <w:b w:val="0"/>
          <w:color w:val="auto"/>
          <w:sz w:val="22"/>
        </w:rPr>
      </w:pPr>
      <w:bookmarkStart w:id="21" w:name="_Toc327382769"/>
      <w:r w:rsidRPr="00753C43">
        <w:rPr>
          <w:b w:val="0"/>
          <w:color w:val="auto"/>
          <w:sz w:val="20"/>
        </w:rPr>
        <w:t xml:space="preserve">Tabela </w:t>
      </w:r>
      <w:r w:rsidR="005A3C60" w:rsidRPr="00753C43">
        <w:rPr>
          <w:b w:val="0"/>
          <w:color w:val="auto"/>
          <w:sz w:val="20"/>
        </w:rPr>
        <w:fldChar w:fldCharType="begin"/>
      </w:r>
      <w:r w:rsidRPr="00753C43">
        <w:rPr>
          <w:b w:val="0"/>
          <w:color w:val="auto"/>
          <w:sz w:val="20"/>
        </w:rPr>
        <w:instrText xml:space="preserve"> SEQ Tabela \* ARABIC </w:instrText>
      </w:r>
      <w:r w:rsidR="005A3C60" w:rsidRPr="00753C43">
        <w:rPr>
          <w:b w:val="0"/>
          <w:color w:val="auto"/>
          <w:sz w:val="20"/>
        </w:rPr>
        <w:fldChar w:fldCharType="separate"/>
      </w:r>
      <w:r w:rsidR="00664B27">
        <w:rPr>
          <w:b w:val="0"/>
          <w:noProof/>
          <w:color w:val="auto"/>
          <w:sz w:val="20"/>
        </w:rPr>
        <w:t>7</w:t>
      </w:r>
      <w:r w:rsidR="005A3C60" w:rsidRPr="00753C43">
        <w:rPr>
          <w:b w:val="0"/>
          <w:color w:val="auto"/>
          <w:sz w:val="20"/>
        </w:rPr>
        <w:fldChar w:fldCharType="end"/>
      </w:r>
      <w:r w:rsidRPr="00753C43">
        <w:rPr>
          <w:b w:val="0"/>
          <w:color w:val="auto"/>
          <w:sz w:val="20"/>
        </w:rPr>
        <w:t>: Izračun vrednosti podjetja in lastniškega kapitala</w:t>
      </w:r>
      <w:bookmarkEnd w:id="21"/>
    </w:p>
    <w:tbl>
      <w:tblPr>
        <w:tblW w:w="5422" w:type="dxa"/>
        <w:tblInd w:w="1813" w:type="dxa"/>
        <w:tblCellMar>
          <w:left w:w="70" w:type="dxa"/>
          <w:right w:w="70" w:type="dxa"/>
        </w:tblCellMar>
        <w:tblLook w:val="04A0" w:firstRow="1" w:lastRow="0" w:firstColumn="1" w:lastColumn="0" w:noHBand="0" w:noVBand="1"/>
      </w:tblPr>
      <w:tblGrid>
        <w:gridCol w:w="3682"/>
        <w:gridCol w:w="1740"/>
      </w:tblGrid>
      <w:tr w:rsidR="000807BD" w:rsidRPr="000807BD" w:rsidTr="000551BF">
        <w:trPr>
          <w:trHeight w:val="300"/>
        </w:trPr>
        <w:tc>
          <w:tcPr>
            <w:tcW w:w="3682" w:type="dxa"/>
            <w:tcBorders>
              <w:top w:val="nil"/>
              <w:left w:val="nil"/>
              <w:bottom w:val="nil"/>
              <w:right w:val="nil"/>
            </w:tcBorders>
            <w:shd w:val="clear" w:color="auto" w:fill="auto"/>
            <w:noWrap/>
            <w:vAlign w:val="bottom"/>
            <w:hideMark/>
          </w:tcPr>
          <w:p w:rsidR="000807BD" w:rsidRPr="000807BD" w:rsidRDefault="000807BD" w:rsidP="000551BF">
            <w:pPr>
              <w:spacing w:after="0" w:line="240" w:lineRule="auto"/>
              <w:jc w:val="center"/>
              <w:rPr>
                <w:rFonts w:ascii="Calibri" w:eastAsia="Times New Roman" w:hAnsi="Calibri" w:cs="Calibri"/>
                <w:color w:val="000000"/>
                <w:lang w:eastAsia="sl-SI"/>
              </w:rPr>
            </w:pPr>
          </w:p>
        </w:tc>
        <w:tc>
          <w:tcPr>
            <w:tcW w:w="1740"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0807BD" w:rsidRPr="000807BD" w:rsidRDefault="000807BD" w:rsidP="000807BD">
            <w:pPr>
              <w:spacing w:after="0" w:line="240" w:lineRule="auto"/>
              <w:rPr>
                <w:rFonts w:ascii="Calibri" w:eastAsia="Times New Roman" w:hAnsi="Calibri" w:cs="Calibri"/>
                <w:color w:val="000000"/>
                <w:lang w:eastAsia="sl-SI"/>
              </w:rPr>
            </w:pPr>
            <w:r w:rsidRPr="000807BD">
              <w:rPr>
                <w:rFonts w:ascii="Calibri" w:eastAsia="Times New Roman" w:hAnsi="Calibri" w:cs="Calibri"/>
                <w:color w:val="000000"/>
                <w:lang w:eastAsia="sl-SI"/>
              </w:rPr>
              <w:t>Diskontirani FCF</w:t>
            </w:r>
          </w:p>
        </w:tc>
      </w:tr>
      <w:tr w:rsidR="000807BD" w:rsidRPr="000807BD" w:rsidTr="000551BF">
        <w:trPr>
          <w:trHeight w:val="360"/>
        </w:trPr>
        <w:tc>
          <w:tcPr>
            <w:tcW w:w="3682" w:type="dxa"/>
            <w:tcBorders>
              <w:top w:val="single" w:sz="4" w:space="0" w:color="auto"/>
              <w:left w:val="single" w:sz="4" w:space="0" w:color="auto"/>
              <w:bottom w:val="nil"/>
              <w:right w:val="single" w:sz="4" w:space="0" w:color="auto"/>
            </w:tcBorders>
            <w:shd w:val="clear" w:color="000000" w:fill="E6B8B7"/>
            <w:noWrap/>
            <w:vAlign w:val="bottom"/>
            <w:hideMark/>
          </w:tcPr>
          <w:p w:rsidR="000807BD" w:rsidRPr="000807BD" w:rsidRDefault="000807BD" w:rsidP="000807BD">
            <w:pPr>
              <w:spacing w:after="0" w:line="240" w:lineRule="auto"/>
              <w:rPr>
                <w:rFonts w:ascii="Calibri" w:eastAsia="Times New Roman" w:hAnsi="Calibri" w:cs="Calibri"/>
                <w:color w:val="000000"/>
                <w:lang w:eastAsia="sl-SI"/>
              </w:rPr>
            </w:pPr>
            <w:r w:rsidRPr="000807BD">
              <w:rPr>
                <w:rFonts w:ascii="Calibri" w:eastAsia="Times New Roman" w:hAnsi="Calibri" w:cs="Calibri"/>
                <w:color w:val="000000"/>
                <w:lang w:eastAsia="sl-SI"/>
              </w:rPr>
              <w:t>FCF</w:t>
            </w:r>
            <w:r w:rsidRPr="000807BD">
              <w:rPr>
                <w:rFonts w:ascii="Calibri" w:eastAsia="Times New Roman" w:hAnsi="Calibri" w:cs="Calibri"/>
                <w:color w:val="000000"/>
                <w:vertAlign w:val="subscript"/>
                <w:lang w:eastAsia="sl-SI"/>
              </w:rPr>
              <w:t>2011</w:t>
            </w:r>
          </w:p>
        </w:tc>
        <w:tc>
          <w:tcPr>
            <w:tcW w:w="1740" w:type="dxa"/>
            <w:tcBorders>
              <w:top w:val="nil"/>
              <w:left w:val="nil"/>
              <w:bottom w:val="nil"/>
              <w:right w:val="single" w:sz="4" w:space="0" w:color="auto"/>
            </w:tcBorders>
            <w:shd w:val="clear" w:color="auto" w:fill="auto"/>
            <w:noWrap/>
            <w:vAlign w:val="bottom"/>
            <w:hideMark/>
          </w:tcPr>
          <w:p w:rsidR="000807BD" w:rsidRPr="000807BD" w:rsidRDefault="000807BD" w:rsidP="000807BD">
            <w:pPr>
              <w:spacing w:after="0" w:line="240" w:lineRule="auto"/>
              <w:jc w:val="right"/>
              <w:rPr>
                <w:rFonts w:ascii="Calibri" w:eastAsia="Times New Roman" w:hAnsi="Calibri" w:cs="Calibri"/>
                <w:color w:val="000000"/>
                <w:lang w:eastAsia="sl-SI"/>
              </w:rPr>
            </w:pPr>
            <w:r w:rsidRPr="000807BD">
              <w:rPr>
                <w:rFonts w:ascii="Calibri" w:eastAsia="Times New Roman" w:hAnsi="Calibri" w:cs="Calibri"/>
                <w:color w:val="000000"/>
                <w:lang w:eastAsia="sl-SI"/>
              </w:rPr>
              <w:t>5.164.016,52 €</w:t>
            </w:r>
          </w:p>
        </w:tc>
      </w:tr>
      <w:tr w:rsidR="000807BD" w:rsidRPr="000807BD" w:rsidTr="000551BF">
        <w:trPr>
          <w:trHeight w:val="360"/>
        </w:trPr>
        <w:tc>
          <w:tcPr>
            <w:tcW w:w="3682" w:type="dxa"/>
            <w:tcBorders>
              <w:top w:val="nil"/>
              <w:left w:val="single" w:sz="4" w:space="0" w:color="auto"/>
              <w:bottom w:val="nil"/>
              <w:right w:val="single" w:sz="4" w:space="0" w:color="auto"/>
            </w:tcBorders>
            <w:shd w:val="clear" w:color="000000" w:fill="E6B8B7"/>
            <w:noWrap/>
            <w:vAlign w:val="bottom"/>
            <w:hideMark/>
          </w:tcPr>
          <w:p w:rsidR="000807BD" w:rsidRPr="000807BD" w:rsidRDefault="000807BD" w:rsidP="000807BD">
            <w:pPr>
              <w:spacing w:after="0" w:line="240" w:lineRule="auto"/>
              <w:rPr>
                <w:rFonts w:ascii="Calibri" w:eastAsia="Times New Roman" w:hAnsi="Calibri" w:cs="Calibri"/>
                <w:color w:val="000000"/>
                <w:lang w:eastAsia="sl-SI"/>
              </w:rPr>
            </w:pPr>
            <w:r w:rsidRPr="000807BD">
              <w:rPr>
                <w:rFonts w:ascii="Calibri" w:eastAsia="Times New Roman" w:hAnsi="Calibri" w:cs="Calibri"/>
                <w:color w:val="000000"/>
                <w:lang w:eastAsia="sl-SI"/>
              </w:rPr>
              <w:t>FCF</w:t>
            </w:r>
            <w:r w:rsidRPr="000807BD">
              <w:rPr>
                <w:rFonts w:ascii="Calibri" w:eastAsia="Times New Roman" w:hAnsi="Calibri" w:cs="Calibri"/>
                <w:color w:val="000000"/>
                <w:vertAlign w:val="subscript"/>
                <w:lang w:eastAsia="sl-SI"/>
              </w:rPr>
              <w:t>2012</w:t>
            </w:r>
          </w:p>
        </w:tc>
        <w:tc>
          <w:tcPr>
            <w:tcW w:w="1740" w:type="dxa"/>
            <w:tcBorders>
              <w:top w:val="nil"/>
              <w:left w:val="nil"/>
              <w:bottom w:val="nil"/>
              <w:right w:val="single" w:sz="4" w:space="0" w:color="auto"/>
            </w:tcBorders>
            <w:shd w:val="clear" w:color="auto" w:fill="auto"/>
            <w:noWrap/>
            <w:vAlign w:val="bottom"/>
            <w:hideMark/>
          </w:tcPr>
          <w:p w:rsidR="000807BD" w:rsidRPr="000807BD" w:rsidRDefault="000807BD" w:rsidP="000807BD">
            <w:pPr>
              <w:spacing w:after="0" w:line="240" w:lineRule="auto"/>
              <w:jc w:val="right"/>
              <w:rPr>
                <w:rFonts w:ascii="Calibri" w:eastAsia="Times New Roman" w:hAnsi="Calibri" w:cs="Calibri"/>
                <w:color w:val="000000"/>
                <w:lang w:eastAsia="sl-SI"/>
              </w:rPr>
            </w:pPr>
            <w:r w:rsidRPr="000807BD">
              <w:rPr>
                <w:rFonts w:ascii="Calibri" w:eastAsia="Times New Roman" w:hAnsi="Calibri" w:cs="Calibri"/>
                <w:color w:val="000000"/>
                <w:lang w:eastAsia="sl-SI"/>
              </w:rPr>
              <w:t>9.271.901,13 €</w:t>
            </w:r>
          </w:p>
        </w:tc>
      </w:tr>
      <w:tr w:rsidR="000807BD" w:rsidRPr="000807BD" w:rsidTr="000551BF">
        <w:trPr>
          <w:trHeight w:val="360"/>
        </w:trPr>
        <w:tc>
          <w:tcPr>
            <w:tcW w:w="3682" w:type="dxa"/>
            <w:tcBorders>
              <w:top w:val="nil"/>
              <w:left w:val="single" w:sz="4" w:space="0" w:color="auto"/>
              <w:bottom w:val="nil"/>
              <w:right w:val="single" w:sz="4" w:space="0" w:color="auto"/>
            </w:tcBorders>
            <w:shd w:val="clear" w:color="000000" w:fill="E6B8B7"/>
            <w:noWrap/>
            <w:vAlign w:val="bottom"/>
            <w:hideMark/>
          </w:tcPr>
          <w:p w:rsidR="000807BD" w:rsidRPr="000807BD" w:rsidRDefault="000807BD" w:rsidP="000807BD">
            <w:pPr>
              <w:spacing w:after="0" w:line="240" w:lineRule="auto"/>
              <w:rPr>
                <w:rFonts w:ascii="Calibri" w:eastAsia="Times New Roman" w:hAnsi="Calibri" w:cs="Calibri"/>
                <w:color w:val="000000"/>
                <w:lang w:eastAsia="sl-SI"/>
              </w:rPr>
            </w:pPr>
            <w:r w:rsidRPr="000807BD">
              <w:rPr>
                <w:rFonts w:ascii="Calibri" w:eastAsia="Times New Roman" w:hAnsi="Calibri" w:cs="Calibri"/>
                <w:color w:val="000000"/>
                <w:lang w:eastAsia="sl-SI"/>
              </w:rPr>
              <w:t>FCF</w:t>
            </w:r>
            <w:r w:rsidRPr="000807BD">
              <w:rPr>
                <w:rFonts w:ascii="Calibri" w:eastAsia="Times New Roman" w:hAnsi="Calibri" w:cs="Calibri"/>
                <w:color w:val="000000"/>
                <w:vertAlign w:val="subscript"/>
                <w:lang w:eastAsia="sl-SI"/>
              </w:rPr>
              <w:t>2013</w:t>
            </w:r>
          </w:p>
        </w:tc>
        <w:tc>
          <w:tcPr>
            <w:tcW w:w="1740" w:type="dxa"/>
            <w:tcBorders>
              <w:top w:val="nil"/>
              <w:left w:val="nil"/>
              <w:bottom w:val="nil"/>
              <w:right w:val="single" w:sz="4" w:space="0" w:color="auto"/>
            </w:tcBorders>
            <w:shd w:val="clear" w:color="auto" w:fill="auto"/>
            <w:noWrap/>
            <w:vAlign w:val="bottom"/>
            <w:hideMark/>
          </w:tcPr>
          <w:p w:rsidR="000807BD" w:rsidRPr="000807BD" w:rsidRDefault="000807BD" w:rsidP="000807BD">
            <w:pPr>
              <w:spacing w:after="0" w:line="240" w:lineRule="auto"/>
              <w:jc w:val="right"/>
              <w:rPr>
                <w:rFonts w:ascii="Calibri" w:eastAsia="Times New Roman" w:hAnsi="Calibri" w:cs="Calibri"/>
                <w:color w:val="000000"/>
                <w:lang w:eastAsia="sl-SI"/>
              </w:rPr>
            </w:pPr>
            <w:r w:rsidRPr="000807BD">
              <w:rPr>
                <w:rFonts w:ascii="Calibri" w:eastAsia="Times New Roman" w:hAnsi="Calibri" w:cs="Calibri"/>
                <w:color w:val="000000"/>
                <w:lang w:eastAsia="sl-SI"/>
              </w:rPr>
              <w:t>8.023.879,21 €</w:t>
            </w:r>
          </w:p>
        </w:tc>
      </w:tr>
      <w:tr w:rsidR="000807BD" w:rsidRPr="000807BD" w:rsidTr="000551BF">
        <w:trPr>
          <w:trHeight w:val="360"/>
        </w:trPr>
        <w:tc>
          <w:tcPr>
            <w:tcW w:w="3682" w:type="dxa"/>
            <w:tcBorders>
              <w:top w:val="nil"/>
              <w:left w:val="single" w:sz="4" w:space="0" w:color="auto"/>
              <w:bottom w:val="nil"/>
              <w:right w:val="single" w:sz="4" w:space="0" w:color="auto"/>
            </w:tcBorders>
            <w:shd w:val="clear" w:color="000000" w:fill="E6B8B7"/>
            <w:noWrap/>
            <w:vAlign w:val="bottom"/>
            <w:hideMark/>
          </w:tcPr>
          <w:p w:rsidR="000807BD" w:rsidRPr="000807BD" w:rsidRDefault="000807BD" w:rsidP="000807BD">
            <w:pPr>
              <w:spacing w:after="0" w:line="240" w:lineRule="auto"/>
              <w:rPr>
                <w:rFonts w:ascii="Calibri" w:eastAsia="Times New Roman" w:hAnsi="Calibri" w:cs="Calibri"/>
                <w:color w:val="000000"/>
                <w:lang w:eastAsia="sl-SI"/>
              </w:rPr>
            </w:pPr>
            <w:r w:rsidRPr="000807BD">
              <w:rPr>
                <w:rFonts w:ascii="Calibri" w:eastAsia="Times New Roman" w:hAnsi="Calibri" w:cs="Calibri"/>
                <w:color w:val="000000"/>
                <w:lang w:eastAsia="sl-SI"/>
              </w:rPr>
              <w:t>FCF</w:t>
            </w:r>
            <w:r w:rsidRPr="000807BD">
              <w:rPr>
                <w:rFonts w:ascii="Calibri" w:eastAsia="Times New Roman" w:hAnsi="Calibri" w:cs="Calibri"/>
                <w:color w:val="000000"/>
                <w:vertAlign w:val="subscript"/>
                <w:lang w:eastAsia="sl-SI"/>
              </w:rPr>
              <w:t>2014</w:t>
            </w:r>
          </w:p>
        </w:tc>
        <w:tc>
          <w:tcPr>
            <w:tcW w:w="1740" w:type="dxa"/>
            <w:tcBorders>
              <w:top w:val="nil"/>
              <w:left w:val="nil"/>
              <w:bottom w:val="nil"/>
              <w:right w:val="single" w:sz="4" w:space="0" w:color="auto"/>
            </w:tcBorders>
            <w:shd w:val="clear" w:color="auto" w:fill="auto"/>
            <w:noWrap/>
            <w:vAlign w:val="bottom"/>
            <w:hideMark/>
          </w:tcPr>
          <w:p w:rsidR="000807BD" w:rsidRPr="000807BD" w:rsidRDefault="000807BD" w:rsidP="000807BD">
            <w:pPr>
              <w:spacing w:after="0" w:line="240" w:lineRule="auto"/>
              <w:jc w:val="right"/>
              <w:rPr>
                <w:rFonts w:ascii="Calibri" w:eastAsia="Times New Roman" w:hAnsi="Calibri" w:cs="Calibri"/>
                <w:color w:val="000000"/>
                <w:lang w:eastAsia="sl-SI"/>
              </w:rPr>
            </w:pPr>
            <w:r w:rsidRPr="000807BD">
              <w:rPr>
                <w:rFonts w:ascii="Calibri" w:eastAsia="Times New Roman" w:hAnsi="Calibri" w:cs="Calibri"/>
                <w:color w:val="000000"/>
                <w:lang w:eastAsia="sl-SI"/>
              </w:rPr>
              <w:t>7.558.416,09 €</w:t>
            </w:r>
          </w:p>
        </w:tc>
      </w:tr>
      <w:tr w:rsidR="000807BD" w:rsidRPr="000807BD" w:rsidTr="000551BF">
        <w:trPr>
          <w:trHeight w:val="360"/>
        </w:trPr>
        <w:tc>
          <w:tcPr>
            <w:tcW w:w="3682" w:type="dxa"/>
            <w:tcBorders>
              <w:top w:val="nil"/>
              <w:left w:val="single" w:sz="4" w:space="0" w:color="auto"/>
              <w:bottom w:val="nil"/>
              <w:right w:val="single" w:sz="4" w:space="0" w:color="auto"/>
            </w:tcBorders>
            <w:shd w:val="clear" w:color="000000" w:fill="E6B8B7"/>
            <w:noWrap/>
            <w:vAlign w:val="bottom"/>
            <w:hideMark/>
          </w:tcPr>
          <w:p w:rsidR="000807BD" w:rsidRPr="000807BD" w:rsidRDefault="000807BD" w:rsidP="000807BD">
            <w:pPr>
              <w:spacing w:after="0" w:line="240" w:lineRule="auto"/>
              <w:rPr>
                <w:rFonts w:ascii="Calibri" w:eastAsia="Times New Roman" w:hAnsi="Calibri" w:cs="Calibri"/>
                <w:color w:val="000000"/>
                <w:lang w:eastAsia="sl-SI"/>
              </w:rPr>
            </w:pPr>
            <w:r w:rsidRPr="000807BD">
              <w:rPr>
                <w:rFonts w:ascii="Calibri" w:eastAsia="Times New Roman" w:hAnsi="Calibri" w:cs="Calibri"/>
                <w:color w:val="000000"/>
                <w:lang w:eastAsia="sl-SI"/>
              </w:rPr>
              <w:t>FCF</w:t>
            </w:r>
            <w:r w:rsidRPr="000807BD">
              <w:rPr>
                <w:rFonts w:ascii="Calibri" w:eastAsia="Times New Roman" w:hAnsi="Calibri" w:cs="Calibri"/>
                <w:color w:val="000000"/>
                <w:vertAlign w:val="subscript"/>
                <w:lang w:eastAsia="sl-SI"/>
              </w:rPr>
              <w:t>2015</w:t>
            </w:r>
          </w:p>
        </w:tc>
        <w:tc>
          <w:tcPr>
            <w:tcW w:w="1740" w:type="dxa"/>
            <w:tcBorders>
              <w:top w:val="nil"/>
              <w:left w:val="nil"/>
              <w:bottom w:val="nil"/>
              <w:right w:val="single" w:sz="4" w:space="0" w:color="auto"/>
            </w:tcBorders>
            <w:shd w:val="clear" w:color="auto" w:fill="auto"/>
            <w:noWrap/>
            <w:vAlign w:val="bottom"/>
            <w:hideMark/>
          </w:tcPr>
          <w:p w:rsidR="000807BD" w:rsidRPr="000807BD" w:rsidRDefault="000807BD" w:rsidP="000807BD">
            <w:pPr>
              <w:spacing w:after="0" w:line="240" w:lineRule="auto"/>
              <w:jc w:val="right"/>
              <w:rPr>
                <w:rFonts w:ascii="Calibri" w:eastAsia="Times New Roman" w:hAnsi="Calibri" w:cs="Calibri"/>
                <w:color w:val="000000"/>
                <w:lang w:eastAsia="sl-SI"/>
              </w:rPr>
            </w:pPr>
            <w:r w:rsidRPr="000807BD">
              <w:rPr>
                <w:rFonts w:ascii="Calibri" w:eastAsia="Times New Roman" w:hAnsi="Calibri" w:cs="Calibri"/>
                <w:color w:val="000000"/>
                <w:lang w:eastAsia="sl-SI"/>
              </w:rPr>
              <w:t>6.901.120,36 €</w:t>
            </w:r>
          </w:p>
        </w:tc>
      </w:tr>
      <w:tr w:rsidR="000807BD" w:rsidRPr="000807BD" w:rsidTr="000551BF">
        <w:trPr>
          <w:trHeight w:val="300"/>
        </w:trPr>
        <w:tc>
          <w:tcPr>
            <w:tcW w:w="3682" w:type="dxa"/>
            <w:tcBorders>
              <w:top w:val="nil"/>
              <w:left w:val="single" w:sz="4" w:space="0" w:color="auto"/>
              <w:bottom w:val="nil"/>
              <w:right w:val="single" w:sz="4" w:space="0" w:color="auto"/>
            </w:tcBorders>
            <w:shd w:val="clear" w:color="000000" w:fill="E6B8B7"/>
            <w:noWrap/>
            <w:vAlign w:val="bottom"/>
            <w:hideMark/>
          </w:tcPr>
          <w:p w:rsidR="000807BD" w:rsidRPr="000807BD" w:rsidRDefault="000807BD" w:rsidP="000807BD">
            <w:pPr>
              <w:spacing w:after="0" w:line="240" w:lineRule="auto"/>
              <w:rPr>
                <w:rFonts w:ascii="Calibri" w:eastAsia="Times New Roman" w:hAnsi="Calibri" w:cs="Calibri"/>
                <w:color w:val="000000"/>
                <w:lang w:eastAsia="sl-SI"/>
              </w:rPr>
            </w:pPr>
            <w:r w:rsidRPr="000807BD">
              <w:rPr>
                <w:rFonts w:ascii="Calibri" w:eastAsia="Times New Roman" w:hAnsi="Calibri" w:cs="Calibri"/>
                <w:color w:val="000000"/>
                <w:lang w:eastAsia="sl-SI"/>
              </w:rPr>
              <w:t xml:space="preserve">TV (Terminal </w:t>
            </w:r>
            <w:proofErr w:type="spellStart"/>
            <w:r w:rsidRPr="000807BD">
              <w:rPr>
                <w:rFonts w:ascii="Calibri" w:eastAsia="Times New Roman" w:hAnsi="Calibri" w:cs="Calibri"/>
                <w:color w:val="000000"/>
                <w:lang w:eastAsia="sl-SI"/>
              </w:rPr>
              <w:t>value</w:t>
            </w:r>
            <w:proofErr w:type="spellEnd"/>
            <w:r w:rsidRPr="000807BD">
              <w:rPr>
                <w:rFonts w:ascii="Calibri" w:eastAsia="Times New Roman" w:hAnsi="Calibri" w:cs="Calibri"/>
                <w:color w:val="000000"/>
                <w:lang w:eastAsia="sl-SI"/>
              </w:rPr>
              <w:t>)</w:t>
            </w:r>
          </w:p>
        </w:tc>
        <w:tc>
          <w:tcPr>
            <w:tcW w:w="1740" w:type="dxa"/>
            <w:tcBorders>
              <w:top w:val="nil"/>
              <w:left w:val="nil"/>
              <w:bottom w:val="nil"/>
              <w:right w:val="single" w:sz="4" w:space="0" w:color="auto"/>
            </w:tcBorders>
            <w:shd w:val="clear" w:color="auto" w:fill="auto"/>
            <w:noWrap/>
            <w:vAlign w:val="bottom"/>
            <w:hideMark/>
          </w:tcPr>
          <w:p w:rsidR="000807BD" w:rsidRPr="000807BD" w:rsidRDefault="000807BD" w:rsidP="000807BD">
            <w:pPr>
              <w:spacing w:after="0" w:line="240" w:lineRule="auto"/>
              <w:jc w:val="right"/>
              <w:rPr>
                <w:rFonts w:ascii="Calibri" w:eastAsia="Times New Roman" w:hAnsi="Calibri" w:cs="Calibri"/>
                <w:color w:val="000000"/>
                <w:lang w:eastAsia="sl-SI"/>
              </w:rPr>
            </w:pPr>
            <w:r w:rsidRPr="000807BD">
              <w:rPr>
                <w:rFonts w:ascii="Calibri" w:eastAsia="Times New Roman" w:hAnsi="Calibri" w:cs="Calibri"/>
                <w:color w:val="000000"/>
                <w:lang w:eastAsia="sl-SI"/>
              </w:rPr>
              <w:t>96.043.275,09 €</w:t>
            </w:r>
          </w:p>
        </w:tc>
      </w:tr>
      <w:tr w:rsidR="000807BD" w:rsidRPr="000807BD" w:rsidTr="000551BF">
        <w:trPr>
          <w:trHeight w:val="300"/>
        </w:trPr>
        <w:tc>
          <w:tcPr>
            <w:tcW w:w="3682"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0807BD" w:rsidRPr="000807BD" w:rsidRDefault="000807BD" w:rsidP="000807BD">
            <w:pPr>
              <w:spacing w:after="0" w:line="240" w:lineRule="auto"/>
              <w:rPr>
                <w:rFonts w:ascii="Calibri" w:eastAsia="Times New Roman" w:hAnsi="Calibri" w:cs="Calibri"/>
                <w:b/>
                <w:bCs/>
                <w:color w:val="000000"/>
                <w:lang w:eastAsia="sl-SI"/>
              </w:rPr>
            </w:pPr>
            <w:r w:rsidRPr="000807BD">
              <w:rPr>
                <w:rFonts w:ascii="Calibri" w:eastAsia="Times New Roman" w:hAnsi="Calibri" w:cs="Calibri"/>
                <w:b/>
                <w:bCs/>
                <w:color w:val="000000"/>
                <w:lang w:eastAsia="sl-SI"/>
              </w:rPr>
              <w:t>PV (vrednost podjetja)</w:t>
            </w:r>
          </w:p>
        </w:tc>
        <w:tc>
          <w:tcPr>
            <w:tcW w:w="1740" w:type="dxa"/>
            <w:tcBorders>
              <w:top w:val="single" w:sz="4" w:space="0" w:color="auto"/>
              <w:left w:val="nil"/>
              <w:bottom w:val="single" w:sz="4" w:space="0" w:color="auto"/>
              <w:right w:val="single" w:sz="4" w:space="0" w:color="auto"/>
            </w:tcBorders>
            <w:shd w:val="clear" w:color="000000" w:fill="DA9694"/>
            <w:noWrap/>
            <w:vAlign w:val="bottom"/>
            <w:hideMark/>
          </w:tcPr>
          <w:p w:rsidR="000807BD" w:rsidRPr="000807BD" w:rsidRDefault="000807BD" w:rsidP="000807BD">
            <w:pPr>
              <w:spacing w:after="0" w:line="240" w:lineRule="auto"/>
              <w:jc w:val="right"/>
              <w:rPr>
                <w:rFonts w:ascii="Calibri" w:eastAsia="Times New Roman" w:hAnsi="Calibri" w:cs="Calibri"/>
                <w:b/>
                <w:bCs/>
                <w:color w:val="000000"/>
                <w:lang w:eastAsia="sl-SI"/>
              </w:rPr>
            </w:pPr>
            <w:r w:rsidRPr="000807BD">
              <w:rPr>
                <w:rFonts w:ascii="Calibri" w:eastAsia="Times New Roman" w:hAnsi="Calibri" w:cs="Calibri"/>
                <w:b/>
                <w:bCs/>
                <w:color w:val="000000"/>
                <w:lang w:eastAsia="sl-SI"/>
              </w:rPr>
              <w:t>132.962.608,39 €</w:t>
            </w:r>
          </w:p>
        </w:tc>
      </w:tr>
      <w:tr w:rsidR="000807BD" w:rsidRPr="000807BD" w:rsidTr="000551BF">
        <w:trPr>
          <w:trHeight w:val="300"/>
        </w:trPr>
        <w:tc>
          <w:tcPr>
            <w:tcW w:w="3682" w:type="dxa"/>
            <w:tcBorders>
              <w:top w:val="nil"/>
              <w:left w:val="single" w:sz="4" w:space="0" w:color="auto"/>
              <w:bottom w:val="nil"/>
              <w:right w:val="single" w:sz="4" w:space="0" w:color="auto"/>
            </w:tcBorders>
            <w:shd w:val="clear" w:color="000000" w:fill="E6B8B7"/>
            <w:noWrap/>
            <w:vAlign w:val="bottom"/>
            <w:hideMark/>
          </w:tcPr>
          <w:p w:rsidR="000807BD" w:rsidRPr="000807BD" w:rsidRDefault="000807BD" w:rsidP="000807BD">
            <w:pPr>
              <w:spacing w:after="0" w:line="240" w:lineRule="auto"/>
              <w:rPr>
                <w:rFonts w:ascii="Calibri" w:eastAsia="Times New Roman" w:hAnsi="Calibri" w:cs="Calibri"/>
                <w:color w:val="000000"/>
                <w:lang w:eastAsia="sl-SI"/>
              </w:rPr>
            </w:pPr>
            <w:r w:rsidRPr="000807BD">
              <w:rPr>
                <w:rFonts w:ascii="Calibri" w:eastAsia="Times New Roman" w:hAnsi="Calibri" w:cs="Calibri"/>
                <w:color w:val="000000"/>
                <w:lang w:eastAsia="sl-SI"/>
              </w:rPr>
              <w:t xml:space="preserve"> +poštena vrednost FN</w:t>
            </w:r>
          </w:p>
        </w:tc>
        <w:tc>
          <w:tcPr>
            <w:tcW w:w="1740" w:type="dxa"/>
            <w:tcBorders>
              <w:top w:val="nil"/>
              <w:left w:val="nil"/>
              <w:bottom w:val="nil"/>
              <w:right w:val="single" w:sz="4" w:space="0" w:color="auto"/>
            </w:tcBorders>
            <w:shd w:val="clear" w:color="auto" w:fill="auto"/>
            <w:noWrap/>
            <w:vAlign w:val="bottom"/>
            <w:hideMark/>
          </w:tcPr>
          <w:p w:rsidR="000807BD" w:rsidRPr="000807BD" w:rsidRDefault="000807BD" w:rsidP="000807BD">
            <w:pPr>
              <w:spacing w:after="0" w:line="240" w:lineRule="auto"/>
              <w:jc w:val="right"/>
              <w:rPr>
                <w:rFonts w:ascii="Arial" w:eastAsia="Times New Roman" w:hAnsi="Arial" w:cs="Arial"/>
                <w:sz w:val="20"/>
                <w:szCs w:val="20"/>
                <w:lang w:eastAsia="sl-SI"/>
              </w:rPr>
            </w:pPr>
            <w:r w:rsidRPr="000807BD">
              <w:rPr>
                <w:rFonts w:ascii="Arial" w:eastAsia="Times New Roman" w:hAnsi="Arial" w:cs="Arial"/>
                <w:sz w:val="20"/>
                <w:szCs w:val="20"/>
                <w:lang w:eastAsia="sl-SI"/>
              </w:rPr>
              <w:t>7.371.941,00 €</w:t>
            </w:r>
          </w:p>
        </w:tc>
      </w:tr>
      <w:tr w:rsidR="000807BD" w:rsidRPr="000807BD" w:rsidTr="000551BF">
        <w:trPr>
          <w:trHeight w:val="300"/>
        </w:trPr>
        <w:tc>
          <w:tcPr>
            <w:tcW w:w="3682" w:type="dxa"/>
            <w:tcBorders>
              <w:top w:val="nil"/>
              <w:left w:val="single" w:sz="4" w:space="0" w:color="auto"/>
              <w:bottom w:val="nil"/>
              <w:right w:val="single" w:sz="4" w:space="0" w:color="auto"/>
            </w:tcBorders>
            <w:shd w:val="clear" w:color="000000" w:fill="E6B8B7"/>
            <w:noWrap/>
            <w:vAlign w:val="bottom"/>
            <w:hideMark/>
          </w:tcPr>
          <w:p w:rsidR="000807BD" w:rsidRPr="000807BD" w:rsidRDefault="000807BD" w:rsidP="000807BD">
            <w:pPr>
              <w:spacing w:after="0" w:line="240" w:lineRule="auto"/>
              <w:rPr>
                <w:rFonts w:ascii="Calibri" w:eastAsia="Times New Roman" w:hAnsi="Calibri" w:cs="Calibri"/>
                <w:color w:val="000000"/>
                <w:lang w:eastAsia="sl-SI"/>
              </w:rPr>
            </w:pPr>
            <w:r w:rsidRPr="000807BD">
              <w:rPr>
                <w:rFonts w:ascii="Calibri" w:eastAsia="Times New Roman" w:hAnsi="Calibri" w:cs="Calibri"/>
                <w:color w:val="000000"/>
                <w:lang w:eastAsia="sl-SI"/>
              </w:rPr>
              <w:t xml:space="preserve"> +denar</w:t>
            </w:r>
          </w:p>
        </w:tc>
        <w:tc>
          <w:tcPr>
            <w:tcW w:w="1740" w:type="dxa"/>
            <w:tcBorders>
              <w:top w:val="nil"/>
              <w:left w:val="nil"/>
              <w:bottom w:val="nil"/>
              <w:right w:val="single" w:sz="4" w:space="0" w:color="auto"/>
            </w:tcBorders>
            <w:shd w:val="clear" w:color="auto" w:fill="auto"/>
            <w:noWrap/>
            <w:vAlign w:val="bottom"/>
            <w:hideMark/>
          </w:tcPr>
          <w:p w:rsidR="000807BD" w:rsidRPr="000807BD" w:rsidRDefault="000807BD" w:rsidP="000807BD">
            <w:pPr>
              <w:spacing w:after="0" w:line="240" w:lineRule="auto"/>
              <w:jc w:val="right"/>
              <w:rPr>
                <w:rFonts w:ascii="Arial" w:eastAsia="Times New Roman" w:hAnsi="Arial" w:cs="Arial"/>
                <w:sz w:val="20"/>
                <w:szCs w:val="20"/>
                <w:lang w:eastAsia="sl-SI"/>
              </w:rPr>
            </w:pPr>
            <w:r w:rsidRPr="000807BD">
              <w:rPr>
                <w:rFonts w:ascii="Arial" w:eastAsia="Times New Roman" w:hAnsi="Arial" w:cs="Arial"/>
                <w:sz w:val="20"/>
                <w:szCs w:val="20"/>
                <w:lang w:eastAsia="sl-SI"/>
              </w:rPr>
              <w:t>4.069.030,00 €</w:t>
            </w:r>
          </w:p>
        </w:tc>
      </w:tr>
      <w:tr w:rsidR="000807BD" w:rsidRPr="000807BD" w:rsidTr="000551BF">
        <w:trPr>
          <w:trHeight w:val="300"/>
        </w:trPr>
        <w:tc>
          <w:tcPr>
            <w:tcW w:w="3682" w:type="dxa"/>
            <w:tcBorders>
              <w:top w:val="nil"/>
              <w:left w:val="single" w:sz="4" w:space="0" w:color="auto"/>
              <w:bottom w:val="nil"/>
              <w:right w:val="single" w:sz="4" w:space="0" w:color="auto"/>
            </w:tcBorders>
            <w:shd w:val="clear" w:color="000000" w:fill="E6B8B7"/>
            <w:noWrap/>
            <w:vAlign w:val="bottom"/>
            <w:hideMark/>
          </w:tcPr>
          <w:p w:rsidR="000807BD" w:rsidRPr="000807BD" w:rsidRDefault="000807BD" w:rsidP="000807BD">
            <w:pPr>
              <w:spacing w:after="0" w:line="240" w:lineRule="auto"/>
              <w:rPr>
                <w:rFonts w:ascii="Calibri" w:eastAsia="Times New Roman" w:hAnsi="Calibri" w:cs="Calibri"/>
                <w:color w:val="000000"/>
                <w:lang w:eastAsia="sl-SI"/>
              </w:rPr>
            </w:pPr>
            <w:r w:rsidRPr="000807BD">
              <w:rPr>
                <w:rFonts w:ascii="Calibri" w:eastAsia="Times New Roman" w:hAnsi="Calibri" w:cs="Calibri"/>
                <w:color w:val="000000"/>
                <w:lang w:eastAsia="sl-SI"/>
              </w:rPr>
              <w:t xml:space="preserve"> -Dolg. In </w:t>
            </w:r>
            <w:proofErr w:type="spellStart"/>
            <w:r w:rsidRPr="000807BD">
              <w:rPr>
                <w:rFonts w:ascii="Calibri" w:eastAsia="Times New Roman" w:hAnsi="Calibri" w:cs="Calibri"/>
                <w:color w:val="000000"/>
                <w:lang w:eastAsia="sl-SI"/>
              </w:rPr>
              <w:t>kratk</w:t>
            </w:r>
            <w:proofErr w:type="spellEnd"/>
            <w:r w:rsidRPr="000807BD">
              <w:rPr>
                <w:rFonts w:ascii="Calibri" w:eastAsia="Times New Roman" w:hAnsi="Calibri" w:cs="Calibri"/>
                <w:color w:val="000000"/>
                <w:lang w:eastAsia="sl-SI"/>
              </w:rPr>
              <w:t>. Fin. Posojila + rezervacije</w:t>
            </w:r>
          </w:p>
        </w:tc>
        <w:tc>
          <w:tcPr>
            <w:tcW w:w="1740" w:type="dxa"/>
            <w:tcBorders>
              <w:top w:val="nil"/>
              <w:left w:val="nil"/>
              <w:bottom w:val="nil"/>
              <w:right w:val="single" w:sz="4" w:space="0" w:color="auto"/>
            </w:tcBorders>
            <w:shd w:val="clear" w:color="auto" w:fill="auto"/>
            <w:noWrap/>
            <w:vAlign w:val="bottom"/>
            <w:hideMark/>
          </w:tcPr>
          <w:p w:rsidR="000807BD" w:rsidRPr="000807BD" w:rsidRDefault="000807BD" w:rsidP="000807BD">
            <w:pPr>
              <w:spacing w:after="0" w:line="240" w:lineRule="auto"/>
              <w:jc w:val="right"/>
              <w:rPr>
                <w:rFonts w:ascii="Arial" w:eastAsia="Times New Roman" w:hAnsi="Arial" w:cs="Arial"/>
                <w:sz w:val="20"/>
                <w:szCs w:val="20"/>
                <w:lang w:eastAsia="sl-SI"/>
              </w:rPr>
            </w:pPr>
            <w:r w:rsidRPr="000807BD">
              <w:rPr>
                <w:rFonts w:ascii="Arial" w:eastAsia="Times New Roman" w:hAnsi="Arial" w:cs="Arial"/>
                <w:sz w:val="20"/>
                <w:szCs w:val="20"/>
                <w:lang w:eastAsia="sl-SI"/>
              </w:rPr>
              <w:t>32.210.134,00 €</w:t>
            </w:r>
          </w:p>
        </w:tc>
      </w:tr>
      <w:tr w:rsidR="000807BD" w:rsidRPr="000807BD" w:rsidTr="000551BF">
        <w:trPr>
          <w:trHeight w:val="300"/>
        </w:trPr>
        <w:tc>
          <w:tcPr>
            <w:tcW w:w="3682"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0807BD" w:rsidRPr="000807BD" w:rsidRDefault="000807BD" w:rsidP="000807BD">
            <w:pPr>
              <w:spacing w:after="0" w:line="240" w:lineRule="auto"/>
              <w:rPr>
                <w:rFonts w:ascii="Calibri" w:eastAsia="Times New Roman" w:hAnsi="Calibri" w:cs="Calibri"/>
                <w:b/>
                <w:bCs/>
                <w:color w:val="000000"/>
                <w:lang w:eastAsia="sl-SI"/>
              </w:rPr>
            </w:pPr>
            <w:r w:rsidRPr="000807BD">
              <w:rPr>
                <w:rFonts w:ascii="Calibri" w:eastAsia="Times New Roman" w:hAnsi="Calibri" w:cs="Calibri"/>
                <w:b/>
                <w:bCs/>
                <w:color w:val="000000"/>
                <w:lang w:eastAsia="sl-SI"/>
              </w:rPr>
              <w:t>Vrednost lastniškega kapitala</w:t>
            </w:r>
          </w:p>
        </w:tc>
        <w:tc>
          <w:tcPr>
            <w:tcW w:w="1740" w:type="dxa"/>
            <w:tcBorders>
              <w:top w:val="single" w:sz="4" w:space="0" w:color="auto"/>
              <w:left w:val="nil"/>
              <w:bottom w:val="single" w:sz="4" w:space="0" w:color="auto"/>
              <w:right w:val="single" w:sz="4" w:space="0" w:color="auto"/>
            </w:tcBorders>
            <w:shd w:val="clear" w:color="000000" w:fill="DA9694"/>
            <w:noWrap/>
            <w:vAlign w:val="bottom"/>
            <w:hideMark/>
          </w:tcPr>
          <w:p w:rsidR="000807BD" w:rsidRPr="000807BD" w:rsidRDefault="000807BD" w:rsidP="000807BD">
            <w:pPr>
              <w:spacing w:after="0" w:line="240" w:lineRule="auto"/>
              <w:jc w:val="right"/>
              <w:rPr>
                <w:rFonts w:ascii="Calibri" w:eastAsia="Times New Roman" w:hAnsi="Calibri" w:cs="Calibri"/>
                <w:b/>
                <w:bCs/>
                <w:color w:val="000000"/>
                <w:lang w:eastAsia="sl-SI"/>
              </w:rPr>
            </w:pPr>
            <w:r w:rsidRPr="000807BD">
              <w:rPr>
                <w:rFonts w:ascii="Calibri" w:eastAsia="Times New Roman" w:hAnsi="Calibri" w:cs="Calibri"/>
                <w:b/>
                <w:bCs/>
                <w:color w:val="000000"/>
                <w:lang w:eastAsia="sl-SI"/>
              </w:rPr>
              <w:t>112.193.445,39 €</w:t>
            </w:r>
          </w:p>
        </w:tc>
      </w:tr>
    </w:tbl>
    <w:p w:rsidR="000807BD" w:rsidRDefault="000807BD" w:rsidP="002F04D4">
      <w:pPr>
        <w:spacing w:line="360" w:lineRule="auto"/>
        <w:jc w:val="both"/>
        <w:rPr>
          <w:sz w:val="24"/>
        </w:rPr>
      </w:pPr>
    </w:p>
    <w:p w:rsidR="006A5229" w:rsidRDefault="006A5229" w:rsidP="002F04D4">
      <w:pPr>
        <w:spacing w:line="360" w:lineRule="auto"/>
        <w:jc w:val="both"/>
        <w:rPr>
          <w:rFonts w:ascii="Times New Roman" w:hAnsi="Times New Roman" w:cs="Times New Roman"/>
          <w:sz w:val="24"/>
          <w:szCs w:val="20"/>
        </w:rPr>
      </w:pPr>
      <w:r w:rsidRPr="001A67DA">
        <w:rPr>
          <w:rFonts w:ascii="Times New Roman" w:hAnsi="Times New Roman" w:cs="Times New Roman"/>
          <w:sz w:val="24"/>
        </w:rPr>
        <w:t>Za vrednost lastniškega kapitala je od vrednosti podjetja potrebno prišteti pošteno vrednost finančnih naložb in denar ter odšteti</w:t>
      </w:r>
      <w:r w:rsidR="00BF69FC" w:rsidRPr="001A67DA">
        <w:rPr>
          <w:rFonts w:ascii="Times New Roman" w:hAnsi="Times New Roman" w:cs="Times New Roman"/>
          <w:sz w:val="24"/>
        </w:rPr>
        <w:t xml:space="preserve"> </w:t>
      </w:r>
      <w:r w:rsidRPr="001A67DA">
        <w:rPr>
          <w:rFonts w:ascii="Times New Roman" w:hAnsi="Times New Roman" w:cs="Times New Roman"/>
          <w:sz w:val="24"/>
        </w:rPr>
        <w:t>vrednost  dolgoročnih in kratkoročnih finančnih posojil ter rezervacij. Podatki so vzeti iz bilance stanja v letnem poročilu 2010.</w:t>
      </w:r>
      <w:r w:rsidR="00B60517" w:rsidRPr="001A67DA">
        <w:rPr>
          <w:rFonts w:ascii="Times New Roman" w:hAnsi="Times New Roman" w:cs="Times New Roman"/>
          <w:sz w:val="24"/>
        </w:rPr>
        <w:t xml:space="preserve"> Kot vidimo je vrednost lastniškega kapitala ocenjena skoraj na dvakrat tolikšno vrednost, kot konec leta 2010, ko je ta znašala </w:t>
      </w:r>
      <w:r w:rsidR="00B60517" w:rsidRPr="001A67DA">
        <w:rPr>
          <w:rFonts w:ascii="Times New Roman" w:hAnsi="Times New Roman" w:cs="Times New Roman"/>
          <w:sz w:val="24"/>
          <w:szCs w:val="20"/>
        </w:rPr>
        <w:t>65.238.341 € (knjigovodska vrednost).</w:t>
      </w:r>
      <w:r w:rsidR="00BD0572" w:rsidRPr="001A67DA">
        <w:rPr>
          <w:rFonts w:ascii="Times New Roman" w:hAnsi="Times New Roman" w:cs="Times New Roman"/>
          <w:sz w:val="24"/>
          <w:szCs w:val="20"/>
        </w:rPr>
        <w:t xml:space="preserve"> Sledi še analiza občutljivosti, v kateri prikazujemo spreminjanje te vrednosti s spreminjanjem stopnje rasti in vrednosti tehtanega stroška kapitala.</w:t>
      </w:r>
    </w:p>
    <w:p w:rsidR="00CA3F88" w:rsidRDefault="00CA3F88" w:rsidP="002F04D4">
      <w:pPr>
        <w:spacing w:line="360" w:lineRule="auto"/>
        <w:jc w:val="both"/>
        <w:rPr>
          <w:rFonts w:ascii="Times New Roman" w:hAnsi="Times New Roman" w:cs="Times New Roman"/>
          <w:sz w:val="24"/>
          <w:szCs w:val="20"/>
        </w:rPr>
      </w:pPr>
    </w:p>
    <w:p w:rsidR="00CA3F88" w:rsidRDefault="00CA3F88" w:rsidP="002F04D4">
      <w:pPr>
        <w:spacing w:line="360" w:lineRule="auto"/>
        <w:jc w:val="both"/>
        <w:rPr>
          <w:rFonts w:ascii="Times New Roman" w:hAnsi="Times New Roman" w:cs="Times New Roman"/>
          <w:sz w:val="24"/>
          <w:szCs w:val="20"/>
        </w:rPr>
      </w:pPr>
    </w:p>
    <w:p w:rsidR="00504760" w:rsidRPr="005A1585" w:rsidRDefault="00E8192A" w:rsidP="003D4CA9">
      <w:pPr>
        <w:pStyle w:val="Heading2"/>
        <w:numPr>
          <w:ilvl w:val="1"/>
          <w:numId w:val="4"/>
        </w:numPr>
        <w:spacing w:before="0" w:after="120"/>
      </w:pPr>
      <w:bookmarkStart w:id="22" w:name="_Toc327382757"/>
      <w:r w:rsidRPr="005A1585">
        <w:lastRenderedPageBreak/>
        <w:t>ANALIZA OBČUTLJIVOSTI</w:t>
      </w:r>
      <w:r>
        <w:t xml:space="preserve"> ZA METODO FCF</w:t>
      </w:r>
      <w:bookmarkEnd w:id="22"/>
    </w:p>
    <w:tbl>
      <w:tblPr>
        <w:tblW w:w="11632" w:type="dxa"/>
        <w:jc w:val="center"/>
        <w:tblCellMar>
          <w:left w:w="70" w:type="dxa"/>
          <w:right w:w="70" w:type="dxa"/>
        </w:tblCellMar>
        <w:tblLook w:val="04A0" w:firstRow="1" w:lastRow="0" w:firstColumn="1" w:lastColumn="0" w:noHBand="0" w:noVBand="1"/>
      </w:tblPr>
      <w:tblGrid>
        <w:gridCol w:w="499"/>
        <w:gridCol w:w="929"/>
        <w:gridCol w:w="1471"/>
        <w:gridCol w:w="1432"/>
        <w:gridCol w:w="1432"/>
        <w:gridCol w:w="1471"/>
        <w:gridCol w:w="1483"/>
        <w:gridCol w:w="1483"/>
        <w:gridCol w:w="1432"/>
      </w:tblGrid>
      <w:tr w:rsidR="00924A4A" w:rsidRPr="005A1585" w:rsidTr="00A32294">
        <w:trPr>
          <w:trHeight w:val="398"/>
          <w:jc w:val="center"/>
        </w:trPr>
        <w:tc>
          <w:tcPr>
            <w:tcW w:w="11632" w:type="dxa"/>
            <w:gridSpan w:val="9"/>
            <w:tcBorders>
              <w:top w:val="nil"/>
              <w:left w:val="nil"/>
              <w:bottom w:val="nil"/>
              <w:right w:val="nil"/>
            </w:tcBorders>
            <w:shd w:val="clear" w:color="auto" w:fill="auto"/>
            <w:noWrap/>
            <w:hideMark/>
          </w:tcPr>
          <w:p w:rsidR="00924A4A" w:rsidRPr="00CA3F88" w:rsidRDefault="00CA3F88" w:rsidP="00CA3F88">
            <w:pPr>
              <w:pStyle w:val="Caption"/>
              <w:keepNext/>
              <w:spacing w:after="120"/>
              <w:jc w:val="center"/>
            </w:pPr>
            <w:bookmarkStart w:id="23" w:name="_Toc327382770"/>
            <w:r w:rsidRPr="00CA3F88">
              <w:rPr>
                <w:color w:val="auto"/>
                <w:sz w:val="20"/>
              </w:rPr>
              <w:t xml:space="preserve">Tabela </w:t>
            </w:r>
            <w:r w:rsidR="005A3C60" w:rsidRPr="00CA3F88">
              <w:rPr>
                <w:color w:val="auto"/>
                <w:sz w:val="20"/>
              </w:rPr>
              <w:fldChar w:fldCharType="begin"/>
            </w:r>
            <w:r w:rsidRPr="00CA3F88">
              <w:rPr>
                <w:color w:val="auto"/>
                <w:sz w:val="20"/>
              </w:rPr>
              <w:instrText xml:space="preserve"> SEQ Tabela \* ARABIC </w:instrText>
            </w:r>
            <w:r w:rsidR="005A3C60" w:rsidRPr="00CA3F88">
              <w:rPr>
                <w:color w:val="auto"/>
                <w:sz w:val="20"/>
              </w:rPr>
              <w:fldChar w:fldCharType="separate"/>
            </w:r>
            <w:r w:rsidR="00664B27">
              <w:rPr>
                <w:noProof/>
                <w:color w:val="auto"/>
                <w:sz w:val="20"/>
              </w:rPr>
              <w:t>8</w:t>
            </w:r>
            <w:r w:rsidR="005A3C60" w:rsidRPr="00CA3F88">
              <w:rPr>
                <w:color w:val="auto"/>
                <w:sz w:val="20"/>
              </w:rPr>
              <w:fldChar w:fldCharType="end"/>
            </w:r>
            <w:r w:rsidRPr="00CA3F88">
              <w:rPr>
                <w:color w:val="auto"/>
                <w:sz w:val="20"/>
              </w:rPr>
              <w:t>: Analiza občutljivosti vrednosti lastniškega kapitala na podlagi metode FCFF (v EUR):</w:t>
            </w:r>
            <w:bookmarkEnd w:id="23"/>
          </w:p>
        </w:tc>
      </w:tr>
      <w:tr w:rsidR="00924A4A" w:rsidRPr="005A1585" w:rsidTr="00A32294">
        <w:trPr>
          <w:trHeight w:val="398"/>
          <w:jc w:val="center"/>
        </w:trPr>
        <w:tc>
          <w:tcPr>
            <w:tcW w:w="499" w:type="dxa"/>
            <w:tcBorders>
              <w:top w:val="nil"/>
              <w:left w:val="nil"/>
              <w:bottom w:val="nil"/>
              <w:right w:val="nil"/>
            </w:tcBorders>
            <w:shd w:val="clear" w:color="auto" w:fill="auto"/>
            <w:noWrap/>
            <w:hideMark/>
          </w:tcPr>
          <w:p w:rsidR="00924A4A" w:rsidRPr="005A1585" w:rsidRDefault="00924A4A" w:rsidP="00A32294">
            <w:pPr>
              <w:spacing w:after="0" w:line="240" w:lineRule="auto"/>
              <w:jc w:val="center"/>
              <w:rPr>
                <w:rFonts w:ascii="Calibri" w:eastAsia="Times New Roman" w:hAnsi="Calibri" w:cs="Times New Roman"/>
                <w:color w:val="000000"/>
                <w:lang w:eastAsia="sl-SI"/>
              </w:rPr>
            </w:pPr>
          </w:p>
        </w:tc>
        <w:tc>
          <w:tcPr>
            <w:tcW w:w="11133" w:type="dxa"/>
            <w:gridSpan w:val="8"/>
            <w:tcBorders>
              <w:top w:val="nil"/>
              <w:left w:val="nil"/>
              <w:bottom w:val="nil"/>
              <w:right w:val="nil"/>
            </w:tcBorders>
            <w:shd w:val="clear" w:color="auto" w:fill="auto"/>
            <w:noWrap/>
            <w:hideMark/>
          </w:tcPr>
          <w:p w:rsidR="00924A4A" w:rsidRPr="00025EA0" w:rsidRDefault="00924A4A" w:rsidP="00A32294">
            <w:pPr>
              <w:spacing w:after="0" w:line="240" w:lineRule="auto"/>
              <w:jc w:val="center"/>
              <w:rPr>
                <w:rFonts w:ascii="Calibri" w:eastAsia="Times New Roman" w:hAnsi="Calibri" w:cs="Times New Roman"/>
                <w:bCs/>
                <w:color w:val="000000"/>
                <w:sz w:val="24"/>
                <w:szCs w:val="24"/>
                <w:lang w:eastAsia="sl-SI"/>
              </w:rPr>
            </w:pPr>
            <w:r w:rsidRPr="00025EA0">
              <w:rPr>
                <w:rFonts w:ascii="Calibri" w:eastAsia="Times New Roman" w:hAnsi="Calibri" w:cs="Times New Roman"/>
                <w:bCs/>
                <w:color w:val="000000"/>
                <w:sz w:val="24"/>
                <w:szCs w:val="24"/>
                <w:lang w:eastAsia="sl-SI"/>
              </w:rPr>
              <w:t>Dolgoročna stopnja rasti</w:t>
            </w:r>
          </w:p>
        </w:tc>
      </w:tr>
      <w:tr w:rsidR="00924A4A" w:rsidRPr="005A1585" w:rsidTr="00A32294">
        <w:trPr>
          <w:trHeight w:val="318"/>
          <w:jc w:val="center"/>
        </w:trPr>
        <w:tc>
          <w:tcPr>
            <w:tcW w:w="499" w:type="dxa"/>
            <w:vMerge w:val="restart"/>
            <w:tcBorders>
              <w:top w:val="nil"/>
              <w:left w:val="nil"/>
              <w:bottom w:val="nil"/>
              <w:right w:val="nil"/>
            </w:tcBorders>
            <w:shd w:val="clear" w:color="auto" w:fill="auto"/>
            <w:noWrap/>
            <w:textDirection w:val="tbLrV"/>
            <w:hideMark/>
          </w:tcPr>
          <w:p w:rsidR="00924A4A" w:rsidRPr="005A1585" w:rsidRDefault="00924A4A" w:rsidP="00A32294">
            <w:pPr>
              <w:spacing w:after="0" w:line="240" w:lineRule="auto"/>
              <w:jc w:val="center"/>
              <w:rPr>
                <w:rFonts w:ascii="Calibri" w:eastAsia="Times New Roman" w:hAnsi="Calibri" w:cs="Times New Roman"/>
                <w:b/>
                <w:bCs/>
                <w:color w:val="000000"/>
                <w:sz w:val="28"/>
                <w:szCs w:val="28"/>
                <w:lang w:eastAsia="sl-SI"/>
              </w:rPr>
            </w:pPr>
            <w:r w:rsidRPr="005A1585">
              <w:rPr>
                <w:rFonts w:ascii="Calibri" w:eastAsia="Times New Roman" w:hAnsi="Calibri" w:cs="Times New Roman"/>
                <w:b/>
                <w:bCs/>
                <w:color w:val="000000"/>
                <w:sz w:val="28"/>
                <w:szCs w:val="28"/>
                <w:lang w:eastAsia="sl-SI"/>
              </w:rPr>
              <w:t>WACC</w:t>
            </w:r>
          </w:p>
        </w:tc>
        <w:tc>
          <w:tcPr>
            <w:tcW w:w="929" w:type="dxa"/>
            <w:tcBorders>
              <w:top w:val="nil"/>
              <w:left w:val="nil"/>
              <w:bottom w:val="single" w:sz="12" w:space="0" w:color="FFFFFF"/>
              <w:right w:val="single" w:sz="4" w:space="0" w:color="FFFFFF"/>
            </w:tcBorders>
            <w:shd w:val="clear" w:color="4F81BD" w:fill="4F81BD"/>
            <w:noWrap/>
            <w:hideMark/>
          </w:tcPr>
          <w:p w:rsidR="00924A4A" w:rsidRPr="005A1585" w:rsidRDefault="00924A4A" w:rsidP="00A32294">
            <w:pPr>
              <w:spacing w:after="0" w:line="240" w:lineRule="auto"/>
              <w:jc w:val="center"/>
              <w:rPr>
                <w:rFonts w:ascii="Calibri" w:eastAsia="Times New Roman" w:hAnsi="Calibri" w:cs="Times New Roman"/>
                <w:b/>
                <w:bCs/>
                <w:color w:val="4F81BD"/>
                <w:lang w:eastAsia="sl-SI"/>
              </w:rPr>
            </w:pPr>
            <w:r w:rsidRPr="005A1585">
              <w:rPr>
                <w:rFonts w:ascii="Calibri" w:eastAsia="Times New Roman" w:hAnsi="Calibri" w:cs="Times New Roman"/>
                <w:b/>
                <w:bCs/>
                <w:color w:val="4F81BD"/>
                <w:lang w:eastAsia="sl-SI"/>
              </w:rPr>
              <w:t>Stolpec1</w:t>
            </w:r>
          </w:p>
        </w:tc>
        <w:tc>
          <w:tcPr>
            <w:tcW w:w="1471" w:type="dxa"/>
            <w:tcBorders>
              <w:top w:val="nil"/>
              <w:left w:val="nil"/>
              <w:bottom w:val="single" w:sz="12" w:space="0" w:color="FFFFFF"/>
              <w:right w:val="single" w:sz="4" w:space="0" w:color="FFFFFF"/>
            </w:tcBorders>
            <w:shd w:val="clear" w:color="4F81BD" w:fill="4F81BD"/>
            <w:noWrap/>
            <w:hideMark/>
          </w:tcPr>
          <w:p w:rsidR="00924A4A" w:rsidRPr="005A1585" w:rsidRDefault="00924A4A" w:rsidP="00A32294">
            <w:pPr>
              <w:spacing w:after="0" w:line="240" w:lineRule="auto"/>
              <w:jc w:val="center"/>
              <w:rPr>
                <w:rFonts w:ascii="Calibri" w:eastAsia="Times New Roman" w:hAnsi="Calibri" w:cs="Times New Roman"/>
                <w:b/>
                <w:bCs/>
                <w:color w:val="FFFFFF"/>
                <w:lang w:eastAsia="sl-SI"/>
              </w:rPr>
            </w:pPr>
            <w:r w:rsidRPr="005A1585">
              <w:rPr>
                <w:rFonts w:ascii="Calibri" w:eastAsia="Times New Roman" w:hAnsi="Calibri" w:cs="Times New Roman"/>
                <w:b/>
                <w:bCs/>
                <w:color w:val="FFFFFF"/>
                <w:lang w:eastAsia="sl-SI"/>
              </w:rPr>
              <w:t>2,10%</w:t>
            </w:r>
          </w:p>
        </w:tc>
        <w:tc>
          <w:tcPr>
            <w:tcW w:w="1432" w:type="dxa"/>
            <w:tcBorders>
              <w:top w:val="nil"/>
              <w:left w:val="nil"/>
              <w:bottom w:val="single" w:sz="12" w:space="0" w:color="FFFFFF"/>
              <w:right w:val="single" w:sz="4" w:space="0" w:color="FFFFFF"/>
            </w:tcBorders>
            <w:shd w:val="clear" w:color="4F81BD" w:fill="4F81BD"/>
            <w:noWrap/>
            <w:hideMark/>
          </w:tcPr>
          <w:p w:rsidR="00924A4A" w:rsidRPr="005A1585" w:rsidRDefault="00924A4A" w:rsidP="00A32294">
            <w:pPr>
              <w:spacing w:after="0" w:line="240" w:lineRule="auto"/>
              <w:jc w:val="center"/>
              <w:rPr>
                <w:rFonts w:ascii="Calibri" w:eastAsia="Times New Roman" w:hAnsi="Calibri" w:cs="Times New Roman"/>
                <w:b/>
                <w:bCs/>
                <w:color w:val="FFFFFF"/>
                <w:lang w:eastAsia="sl-SI"/>
              </w:rPr>
            </w:pPr>
            <w:r w:rsidRPr="005A1585">
              <w:rPr>
                <w:rFonts w:ascii="Calibri" w:eastAsia="Times New Roman" w:hAnsi="Calibri" w:cs="Times New Roman"/>
                <w:b/>
                <w:bCs/>
                <w:color w:val="FFFFFF"/>
                <w:lang w:eastAsia="sl-SI"/>
              </w:rPr>
              <w:t>2,40%</w:t>
            </w:r>
          </w:p>
        </w:tc>
        <w:tc>
          <w:tcPr>
            <w:tcW w:w="1432" w:type="dxa"/>
            <w:tcBorders>
              <w:top w:val="nil"/>
              <w:left w:val="nil"/>
              <w:bottom w:val="single" w:sz="12" w:space="0" w:color="FFFFFF"/>
              <w:right w:val="single" w:sz="4" w:space="0" w:color="FFFFFF"/>
            </w:tcBorders>
            <w:shd w:val="clear" w:color="4F81BD" w:fill="4F81BD"/>
            <w:noWrap/>
            <w:hideMark/>
          </w:tcPr>
          <w:p w:rsidR="00924A4A" w:rsidRPr="005A1585" w:rsidRDefault="00924A4A" w:rsidP="00A32294">
            <w:pPr>
              <w:spacing w:after="0" w:line="240" w:lineRule="auto"/>
              <w:jc w:val="center"/>
              <w:rPr>
                <w:rFonts w:ascii="Calibri" w:eastAsia="Times New Roman" w:hAnsi="Calibri" w:cs="Times New Roman"/>
                <w:b/>
                <w:bCs/>
                <w:color w:val="FFFFFF"/>
                <w:lang w:eastAsia="sl-SI"/>
              </w:rPr>
            </w:pPr>
            <w:r w:rsidRPr="005A1585">
              <w:rPr>
                <w:rFonts w:ascii="Calibri" w:eastAsia="Times New Roman" w:hAnsi="Calibri" w:cs="Times New Roman"/>
                <w:b/>
                <w:bCs/>
                <w:color w:val="FFFFFF"/>
                <w:lang w:eastAsia="sl-SI"/>
              </w:rPr>
              <w:t>2,70%</w:t>
            </w:r>
          </w:p>
        </w:tc>
        <w:tc>
          <w:tcPr>
            <w:tcW w:w="1471" w:type="dxa"/>
            <w:tcBorders>
              <w:top w:val="nil"/>
              <w:left w:val="nil"/>
              <w:bottom w:val="single" w:sz="12" w:space="0" w:color="FFFFFF"/>
              <w:right w:val="single" w:sz="4" w:space="0" w:color="FFFFFF"/>
            </w:tcBorders>
            <w:shd w:val="clear" w:color="4F81BD" w:fill="4F81BD"/>
            <w:noWrap/>
            <w:hideMark/>
          </w:tcPr>
          <w:p w:rsidR="00924A4A" w:rsidRPr="005A1585" w:rsidRDefault="00924A4A" w:rsidP="00A32294">
            <w:pPr>
              <w:spacing w:after="0" w:line="240" w:lineRule="auto"/>
              <w:jc w:val="center"/>
              <w:rPr>
                <w:rFonts w:ascii="Calibri" w:eastAsia="Times New Roman" w:hAnsi="Calibri" w:cs="Times New Roman"/>
                <w:b/>
                <w:bCs/>
                <w:color w:val="FFFFFF"/>
                <w:lang w:eastAsia="sl-SI"/>
              </w:rPr>
            </w:pPr>
            <w:r w:rsidRPr="005A1585">
              <w:rPr>
                <w:rFonts w:ascii="Calibri" w:eastAsia="Times New Roman" w:hAnsi="Calibri" w:cs="Times New Roman"/>
                <w:b/>
                <w:bCs/>
                <w:color w:val="FFFFFF"/>
                <w:lang w:eastAsia="sl-SI"/>
              </w:rPr>
              <w:t>3,00%</w:t>
            </w:r>
          </w:p>
        </w:tc>
        <w:tc>
          <w:tcPr>
            <w:tcW w:w="1483" w:type="dxa"/>
            <w:tcBorders>
              <w:top w:val="nil"/>
              <w:left w:val="nil"/>
              <w:bottom w:val="single" w:sz="12" w:space="0" w:color="FFFFFF"/>
              <w:right w:val="single" w:sz="4" w:space="0" w:color="FFFFFF"/>
            </w:tcBorders>
            <w:shd w:val="clear" w:color="4F81BD" w:fill="4F81BD"/>
            <w:noWrap/>
            <w:hideMark/>
          </w:tcPr>
          <w:p w:rsidR="00924A4A" w:rsidRPr="005A1585" w:rsidRDefault="00924A4A" w:rsidP="00A32294">
            <w:pPr>
              <w:spacing w:after="0" w:line="240" w:lineRule="auto"/>
              <w:jc w:val="center"/>
              <w:rPr>
                <w:rFonts w:ascii="Calibri" w:eastAsia="Times New Roman" w:hAnsi="Calibri" w:cs="Times New Roman"/>
                <w:b/>
                <w:bCs/>
                <w:color w:val="FFFFFF"/>
                <w:lang w:eastAsia="sl-SI"/>
              </w:rPr>
            </w:pPr>
            <w:r w:rsidRPr="005A1585">
              <w:rPr>
                <w:rFonts w:ascii="Calibri" w:eastAsia="Times New Roman" w:hAnsi="Calibri" w:cs="Times New Roman"/>
                <w:b/>
                <w:bCs/>
                <w:color w:val="FFFFFF"/>
                <w:lang w:eastAsia="sl-SI"/>
              </w:rPr>
              <w:t>3,30%</w:t>
            </w:r>
          </w:p>
        </w:tc>
        <w:tc>
          <w:tcPr>
            <w:tcW w:w="1483" w:type="dxa"/>
            <w:tcBorders>
              <w:top w:val="nil"/>
              <w:left w:val="nil"/>
              <w:bottom w:val="single" w:sz="12" w:space="0" w:color="FFFFFF"/>
              <w:right w:val="single" w:sz="4" w:space="0" w:color="FFFFFF"/>
            </w:tcBorders>
            <w:shd w:val="clear" w:color="4F81BD" w:fill="4F81BD"/>
            <w:noWrap/>
            <w:hideMark/>
          </w:tcPr>
          <w:p w:rsidR="00924A4A" w:rsidRPr="005A1585" w:rsidRDefault="00924A4A" w:rsidP="00A32294">
            <w:pPr>
              <w:spacing w:after="0" w:line="240" w:lineRule="auto"/>
              <w:jc w:val="center"/>
              <w:rPr>
                <w:rFonts w:ascii="Calibri" w:eastAsia="Times New Roman" w:hAnsi="Calibri" w:cs="Times New Roman"/>
                <w:b/>
                <w:bCs/>
                <w:color w:val="FFFFFF"/>
                <w:lang w:eastAsia="sl-SI"/>
              </w:rPr>
            </w:pPr>
            <w:r w:rsidRPr="005A1585">
              <w:rPr>
                <w:rFonts w:ascii="Calibri" w:eastAsia="Times New Roman" w:hAnsi="Calibri" w:cs="Times New Roman"/>
                <w:b/>
                <w:bCs/>
                <w:color w:val="FFFFFF"/>
                <w:lang w:eastAsia="sl-SI"/>
              </w:rPr>
              <w:t>3,60%</w:t>
            </w:r>
          </w:p>
        </w:tc>
        <w:tc>
          <w:tcPr>
            <w:tcW w:w="1432" w:type="dxa"/>
            <w:tcBorders>
              <w:top w:val="nil"/>
              <w:left w:val="nil"/>
              <w:bottom w:val="single" w:sz="12" w:space="0" w:color="FFFFFF"/>
              <w:right w:val="nil"/>
            </w:tcBorders>
            <w:shd w:val="clear" w:color="4F81BD" w:fill="4F81BD"/>
            <w:noWrap/>
            <w:hideMark/>
          </w:tcPr>
          <w:p w:rsidR="00924A4A" w:rsidRPr="005A1585" w:rsidRDefault="00924A4A" w:rsidP="00A32294">
            <w:pPr>
              <w:spacing w:after="0" w:line="240" w:lineRule="auto"/>
              <w:jc w:val="center"/>
              <w:rPr>
                <w:rFonts w:ascii="Calibri" w:eastAsia="Times New Roman" w:hAnsi="Calibri" w:cs="Times New Roman"/>
                <w:b/>
                <w:bCs/>
                <w:color w:val="FFFFFF"/>
                <w:lang w:eastAsia="sl-SI"/>
              </w:rPr>
            </w:pPr>
            <w:r w:rsidRPr="005A1585">
              <w:rPr>
                <w:rFonts w:ascii="Calibri" w:eastAsia="Times New Roman" w:hAnsi="Calibri" w:cs="Times New Roman"/>
                <w:b/>
                <w:bCs/>
                <w:color w:val="FFFFFF"/>
                <w:lang w:eastAsia="sl-SI"/>
              </w:rPr>
              <w:t>3,90%</w:t>
            </w:r>
          </w:p>
        </w:tc>
      </w:tr>
      <w:tr w:rsidR="00924A4A" w:rsidRPr="005A1585" w:rsidTr="00A32294">
        <w:trPr>
          <w:trHeight w:val="318"/>
          <w:jc w:val="center"/>
        </w:trPr>
        <w:tc>
          <w:tcPr>
            <w:tcW w:w="499" w:type="dxa"/>
            <w:vMerge/>
            <w:tcBorders>
              <w:top w:val="nil"/>
              <w:left w:val="nil"/>
              <w:bottom w:val="nil"/>
              <w:right w:val="nil"/>
            </w:tcBorders>
            <w:hideMark/>
          </w:tcPr>
          <w:p w:rsidR="00924A4A" w:rsidRPr="005A1585" w:rsidRDefault="00924A4A" w:rsidP="00A32294">
            <w:pPr>
              <w:spacing w:after="0" w:line="240" w:lineRule="auto"/>
              <w:jc w:val="center"/>
              <w:rPr>
                <w:rFonts w:ascii="Calibri" w:eastAsia="Times New Roman" w:hAnsi="Calibri" w:cs="Times New Roman"/>
                <w:b/>
                <w:bCs/>
                <w:color w:val="000000"/>
                <w:sz w:val="28"/>
                <w:szCs w:val="28"/>
                <w:lang w:eastAsia="sl-SI"/>
              </w:rPr>
            </w:pPr>
          </w:p>
        </w:tc>
        <w:tc>
          <w:tcPr>
            <w:tcW w:w="929" w:type="dxa"/>
            <w:tcBorders>
              <w:top w:val="nil"/>
              <w:left w:val="nil"/>
              <w:bottom w:val="single" w:sz="4" w:space="0" w:color="FFFFFF"/>
              <w:right w:val="single" w:sz="4" w:space="0" w:color="FFFFFF"/>
            </w:tcBorders>
            <w:shd w:val="clear" w:color="4F81BD" w:fill="4F81BD"/>
            <w:noWrap/>
            <w:hideMark/>
          </w:tcPr>
          <w:p w:rsidR="00924A4A" w:rsidRPr="005A1585" w:rsidRDefault="00924A4A" w:rsidP="00A32294">
            <w:pPr>
              <w:spacing w:after="0" w:line="240" w:lineRule="auto"/>
              <w:jc w:val="center"/>
              <w:rPr>
                <w:rFonts w:ascii="Calibri" w:eastAsia="Times New Roman" w:hAnsi="Calibri" w:cs="Times New Roman"/>
                <w:b/>
                <w:bCs/>
                <w:color w:val="FFFFFF"/>
                <w:lang w:eastAsia="sl-SI"/>
              </w:rPr>
            </w:pPr>
            <w:r w:rsidRPr="005A1585">
              <w:rPr>
                <w:rFonts w:ascii="Calibri" w:eastAsia="Times New Roman" w:hAnsi="Calibri" w:cs="Times New Roman"/>
                <w:b/>
                <w:bCs/>
                <w:color w:val="FFFFFF"/>
                <w:lang w:eastAsia="sl-SI"/>
              </w:rPr>
              <w:t>6,53%</w:t>
            </w:r>
          </w:p>
        </w:tc>
        <w:tc>
          <w:tcPr>
            <w:tcW w:w="1471" w:type="dxa"/>
            <w:tcBorders>
              <w:top w:val="nil"/>
              <w:left w:val="nil"/>
              <w:bottom w:val="single" w:sz="4" w:space="0" w:color="FFFFFF"/>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124.248.688 €</w:t>
            </w:r>
          </w:p>
        </w:tc>
        <w:tc>
          <w:tcPr>
            <w:tcW w:w="1432" w:type="dxa"/>
            <w:tcBorders>
              <w:top w:val="nil"/>
              <w:left w:val="nil"/>
              <w:bottom w:val="single" w:sz="4" w:space="0" w:color="FFFFFF"/>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132.441.578 €</w:t>
            </w:r>
          </w:p>
        </w:tc>
        <w:tc>
          <w:tcPr>
            <w:tcW w:w="1432" w:type="dxa"/>
            <w:tcBorders>
              <w:top w:val="nil"/>
              <w:left w:val="nil"/>
              <w:bottom w:val="single" w:sz="4" w:space="0" w:color="FFFFFF"/>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141.917.949 €</w:t>
            </w:r>
          </w:p>
        </w:tc>
        <w:tc>
          <w:tcPr>
            <w:tcW w:w="1471" w:type="dxa"/>
            <w:tcBorders>
              <w:top w:val="nil"/>
              <w:left w:val="nil"/>
              <w:bottom w:val="single" w:sz="4" w:space="0" w:color="FFFFFF"/>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153.005.035 €</w:t>
            </w:r>
          </w:p>
        </w:tc>
        <w:tc>
          <w:tcPr>
            <w:tcW w:w="1483" w:type="dxa"/>
            <w:tcBorders>
              <w:top w:val="nil"/>
              <w:left w:val="nil"/>
              <w:bottom w:val="single" w:sz="4" w:space="0" w:color="FFFFFF"/>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166.151.642 €</w:t>
            </w:r>
          </w:p>
        </w:tc>
        <w:tc>
          <w:tcPr>
            <w:tcW w:w="1483" w:type="dxa"/>
            <w:tcBorders>
              <w:top w:val="nil"/>
              <w:left w:val="nil"/>
              <w:bottom w:val="single" w:sz="4" w:space="0" w:color="FFFFFF"/>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181.990.387 €</w:t>
            </w:r>
          </w:p>
        </w:tc>
        <w:tc>
          <w:tcPr>
            <w:tcW w:w="1432" w:type="dxa"/>
            <w:tcBorders>
              <w:top w:val="nil"/>
              <w:left w:val="nil"/>
              <w:bottom w:val="single" w:sz="4" w:space="0" w:color="FFFFFF"/>
              <w:right w:val="nil"/>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201.442.534 €</w:t>
            </w:r>
          </w:p>
        </w:tc>
      </w:tr>
      <w:tr w:rsidR="00924A4A" w:rsidRPr="005A1585" w:rsidTr="00A32294">
        <w:trPr>
          <w:trHeight w:val="318"/>
          <w:jc w:val="center"/>
        </w:trPr>
        <w:tc>
          <w:tcPr>
            <w:tcW w:w="499" w:type="dxa"/>
            <w:vMerge/>
            <w:tcBorders>
              <w:top w:val="nil"/>
              <w:left w:val="nil"/>
              <w:bottom w:val="nil"/>
              <w:right w:val="nil"/>
            </w:tcBorders>
            <w:hideMark/>
          </w:tcPr>
          <w:p w:rsidR="00924A4A" w:rsidRPr="005A1585" w:rsidRDefault="00924A4A" w:rsidP="00A32294">
            <w:pPr>
              <w:spacing w:after="0" w:line="240" w:lineRule="auto"/>
              <w:jc w:val="center"/>
              <w:rPr>
                <w:rFonts w:ascii="Calibri" w:eastAsia="Times New Roman" w:hAnsi="Calibri" w:cs="Times New Roman"/>
                <w:b/>
                <w:bCs/>
                <w:color w:val="000000"/>
                <w:sz w:val="28"/>
                <w:szCs w:val="28"/>
                <w:lang w:eastAsia="sl-SI"/>
              </w:rPr>
            </w:pPr>
          </w:p>
        </w:tc>
        <w:tc>
          <w:tcPr>
            <w:tcW w:w="929" w:type="dxa"/>
            <w:tcBorders>
              <w:top w:val="nil"/>
              <w:left w:val="nil"/>
              <w:bottom w:val="single" w:sz="4" w:space="0" w:color="FFFFFF"/>
              <w:right w:val="single" w:sz="4" w:space="0" w:color="FFFFFF"/>
            </w:tcBorders>
            <w:shd w:val="clear" w:color="4F81BD" w:fill="4F81BD"/>
            <w:noWrap/>
            <w:hideMark/>
          </w:tcPr>
          <w:p w:rsidR="00924A4A" w:rsidRPr="005A1585" w:rsidRDefault="00924A4A" w:rsidP="00A32294">
            <w:pPr>
              <w:spacing w:after="0" w:line="240" w:lineRule="auto"/>
              <w:jc w:val="center"/>
              <w:rPr>
                <w:rFonts w:ascii="Calibri" w:eastAsia="Times New Roman" w:hAnsi="Calibri" w:cs="Times New Roman"/>
                <w:b/>
                <w:bCs/>
                <w:color w:val="FFFFFF"/>
                <w:lang w:eastAsia="sl-SI"/>
              </w:rPr>
            </w:pPr>
            <w:r w:rsidRPr="005A1585">
              <w:rPr>
                <w:rFonts w:ascii="Calibri" w:eastAsia="Times New Roman" w:hAnsi="Calibri" w:cs="Times New Roman"/>
                <w:b/>
                <w:bCs/>
                <w:color w:val="FFFFFF"/>
                <w:lang w:eastAsia="sl-SI"/>
              </w:rPr>
              <w:t>7,03%</w:t>
            </w:r>
          </w:p>
        </w:tc>
        <w:tc>
          <w:tcPr>
            <w:tcW w:w="1471" w:type="dxa"/>
            <w:tcBorders>
              <w:top w:val="nil"/>
              <w:left w:val="nil"/>
              <w:bottom w:val="single" w:sz="4" w:space="0" w:color="FFFFFF"/>
              <w:right w:val="single" w:sz="4" w:space="0" w:color="FFFFFF"/>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113.285.349 €</w:t>
            </w:r>
          </w:p>
        </w:tc>
        <w:tc>
          <w:tcPr>
            <w:tcW w:w="1432" w:type="dxa"/>
            <w:tcBorders>
              <w:top w:val="nil"/>
              <w:left w:val="nil"/>
              <w:bottom w:val="single" w:sz="4" w:space="0" w:color="FFFFFF"/>
              <w:right w:val="single" w:sz="4" w:space="0" w:color="FFFFFF"/>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119.883.110 €</w:t>
            </w:r>
          </w:p>
        </w:tc>
        <w:tc>
          <w:tcPr>
            <w:tcW w:w="1432" w:type="dxa"/>
            <w:tcBorders>
              <w:top w:val="nil"/>
              <w:left w:val="nil"/>
              <w:bottom w:val="single" w:sz="4" w:space="0" w:color="FFFFFF"/>
              <w:right w:val="single" w:sz="4" w:space="0" w:color="FFFFFF"/>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127.395.111 €</w:t>
            </w:r>
          </w:p>
        </w:tc>
        <w:tc>
          <w:tcPr>
            <w:tcW w:w="1471" w:type="dxa"/>
            <w:tcBorders>
              <w:top w:val="nil"/>
              <w:left w:val="nil"/>
              <w:bottom w:val="single" w:sz="4" w:space="0" w:color="FFFFFF"/>
              <w:right w:val="single" w:sz="4" w:space="0" w:color="FFFFFF"/>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136.025.524 €</w:t>
            </w:r>
          </w:p>
        </w:tc>
        <w:tc>
          <w:tcPr>
            <w:tcW w:w="1483" w:type="dxa"/>
            <w:tcBorders>
              <w:top w:val="nil"/>
              <w:left w:val="nil"/>
              <w:bottom w:val="single" w:sz="4" w:space="0" w:color="FFFFFF"/>
              <w:right w:val="single" w:sz="4" w:space="0" w:color="FFFFFF"/>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146.044.206 €</w:t>
            </w:r>
          </w:p>
        </w:tc>
        <w:tc>
          <w:tcPr>
            <w:tcW w:w="1483" w:type="dxa"/>
            <w:tcBorders>
              <w:top w:val="nil"/>
              <w:left w:val="nil"/>
              <w:bottom w:val="single" w:sz="4" w:space="0" w:color="FFFFFF"/>
              <w:right w:val="single" w:sz="4" w:space="0" w:color="FFFFFF"/>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157.815.428 €</w:t>
            </w:r>
          </w:p>
        </w:tc>
        <w:tc>
          <w:tcPr>
            <w:tcW w:w="1432" w:type="dxa"/>
            <w:tcBorders>
              <w:top w:val="nil"/>
              <w:left w:val="nil"/>
              <w:bottom w:val="single" w:sz="4" w:space="0" w:color="FFFFFF"/>
              <w:right w:val="nil"/>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171.843.115 €</w:t>
            </w:r>
          </w:p>
        </w:tc>
      </w:tr>
      <w:tr w:rsidR="00924A4A" w:rsidRPr="005A1585" w:rsidTr="00A32294">
        <w:trPr>
          <w:trHeight w:val="318"/>
          <w:jc w:val="center"/>
        </w:trPr>
        <w:tc>
          <w:tcPr>
            <w:tcW w:w="499" w:type="dxa"/>
            <w:vMerge/>
            <w:tcBorders>
              <w:top w:val="nil"/>
              <w:left w:val="nil"/>
              <w:bottom w:val="nil"/>
              <w:right w:val="nil"/>
            </w:tcBorders>
            <w:hideMark/>
          </w:tcPr>
          <w:p w:rsidR="00924A4A" w:rsidRPr="005A1585" w:rsidRDefault="00924A4A" w:rsidP="00A32294">
            <w:pPr>
              <w:spacing w:after="0" w:line="240" w:lineRule="auto"/>
              <w:jc w:val="center"/>
              <w:rPr>
                <w:rFonts w:ascii="Calibri" w:eastAsia="Times New Roman" w:hAnsi="Calibri" w:cs="Times New Roman"/>
                <w:b/>
                <w:bCs/>
                <w:color w:val="000000"/>
                <w:sz w:val="28"/>
                <w:szCs w:val="28"/>
                <w:lang w:eastAsia="sl-SI"/>
              </w:rPr>
            </w:pPr>
          </w:p>
        </w:tc>
        <w:tc>
          <w:tcPr>
            <w:tcW w:w="929" w:type="dxa"/>
            <w:tcBorders>
              <w:top w:val="nil"/>
              <w:left w:val="nil"/>
              <w:bottom w:val="single" w:sz="4" w:space="0" w:color="FFFFFF"/>
              <w:right w:val="single" w:sz="4" w:space="0" w:color="FFFFFF"/>
            </w:tcBorders>
            <w:shd w:val="clear" w:color="4F81BD" w:fill="4F81BD"/>
            <w:noWrap/>
            <w:hideMark/>
          </w:tcPr>
          <w:p w:rsidR="00924A4A" w:rsidRPr="005A1585" w:rsidRDefault="00924A4A" w:rsidP="00A32294">
            <w:pPr>
              <w:spacing w:after="0" w:line="240" w:lineRule="auto"/>
              <w:jc w:val="center"/>
              <w:rPr>
                <w:rFonts w:ascii="Calibri" w:eastAsia="Times New Roman" w:hAnsi="Calibri" w:cs="Times New Roman"/>
                <w:b/>
                <w:bCs/>
                <w:color w:val="FFFFFF"/>
                <w:lang w:eastAsia="sl-SI"/>
              </w:rPr>
            </w:pPr>
            <w:r w:rsidRPr="005A1585">
              <w:rPr>
                <w:rFonts w:ascii="Calibri" w:eastAsia="Times New Roman" w:hAnsi="Calibri" w:cs="Times New Roman"/>
                <w:b/>
                <w:bCs/>
                <w:color w:val="FFFFFF"/>
                <w:lang w:eastAsia="sl-SI"/>
              </w:rPr>
              <w:t>7,53%</w:t>
            </w:r>
          </w:p>
        </w:tc>
        <w:tc>
          <w:tcPr>
            <w:tcW w:w="1471" w:type="dxa"/>
            <w:tcBorders>
              <w:top w:val="nil"/>
              <w:left w:val="nil"/>
              <w:bottom w:val="single" w:sz="4" w:space="0" w:color="FFFFFF"/>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104.341.042 €</w:t>
            </w:r>
          </w:p>
        </w:tc>
        <w:tc>
          <w:tcPr>
            <w:tcW w:w="1432" w:type="dxa"/>
            <w:tcBorders>
              <w:top w:val="nil"/>
              <w:left w:val="nil"/>
              <w:bottom w:val="single" w:sz="4" w:space="0" w:color="FFFFFF"/>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109.772.687 €</w:t>
            </w:r>
          </w:p>
        </w:tc>
        <w:tc>
          <w:tcPr>
            <w:tcW w:w="1432" w:type="dxa"/>
            <w:tcBorders>
              <w:top w:val="nil"/>
              <w:left w:val="nil"/>
              <w:bottom w:val="single" w:sz="4" w:space="0" w:color="FFFFFF"/>
              <w:right w:val="single" w:sz="4" w:space="0" w:color="FFFFFF"/>
            </w:tcBorders>
            <w:shd w:val="clear" w:color="000000" w:fill="F79646"/>
            <w:noWrap/>
            <w:hideMark/>
          </w:tcPr>
          <w:p w:rsidR="00924A4A" w:rsidRPr="005A1585" w:rsidRDefault="00924A4A" w:rsidP="00A32294">
            <w:pPr>
              <w:spacing w:after="0" w:line="240" w:lineRule="auto"/>
              <w:jc w:val="center"/>
              <w:rPr>
                <w:rFonts w:ascii="Calibri" w:eastAsia="Times New Roman" w:hAnsi="Calibri" w:cs="Times New Roman"/>
                <w:sz w:val="20"/>
                <w:szCs w:val="20"/>
                <w:lang w:eastAsia="sl-SI"/>
              </w:rPr>
            </w:pPr>
            <w:r w:rsidRPr="005A1585">
              <w:rPr>
                <w:rFonts w:ascii="Calibri" w:eastAsia="Times New Roman" w:hAnsi="Calibri" w:cs="Times New Roman"/>
                <w:sz w:val="20"/>
                <w:szCs w:val="20"/>
                <w:lang w:eastAsia="sl-SI"/>
              </w:rPr>
              <w:t>115.879.072 €</w:t>
            </w:r>
          </w:p>
        </w:tc>
        <w:tc>
          <w:tcPr>
            <w:tcW w:w="1471" w:type="dxa"/>
            <w:tcBorders>
              <w:top w:val="nil"/>
              <w:left w:val="nil"/>
              <w:bottom w:val="single" w:sz="4" w:space="0" w:color="FFFFFF"/>
              <w:right w:val="single" w:sz="4" w:space="0" w:color="FFFFFF"/>
            </w:tcBorders>
            <w:shd w:val="clear" w:color="000000" w:fill="F79646"/>
            <w:noWrap/>
            <w:hideMark/>
          </w:tcPr>
          <w:p w:rsidR="00924A4A" w:rsidRPr="005A1585" w:rsidRDefault="00924A4A" w:rsidP="00A32294">
            <w:pPr>
              <w:spacing w:after="0" w:line="240" w:lineRule="auto"/>
              <w:jc w:val="center"/>
              <w:rPr>
                <w:rFonts w:ascii="Calibri" w:eastAsia="Times New Roman" w:hAnsi="Calibri" w:cs="Times New Roman"/>
                <w:sz w:val="20"/>
                <w:szCs w:val="20"/>
                <w:lang w:eastAsia="sl-SI"/>
              </w:rPr>
            </w:pPr>
            <w:r w:rsidRPr="005A1585">
              <w:rPr>
                <w:rFonts w:ascii="Calibri" w:eastAsia="Times New Roman" w:hAnsi="Calibri" w:cs="Times New Roman"/>
                <w:sz w:val="20"/>
                <w:szCs w:val="20"/>
                <w:lang w:eastAsia="sl-SI"/>
              </w:rPr>
              <w:t>122.794.248 €</w:t>
            </w:r>
          </w:p>
        </w:tc>
        <w:tc>
          <w:tcPr>
            <w:tcW w:w="1483" w:type="dxa"/>
            <w:tcBorders>
              <w:top w:val="nil"/>
              <w:left w:val="nil"/>
              <w:bottom w:val="single" w:sz="4" w:space="0" w:color="FFFFFF"/>
              <w:right w:val="single" w:sz="4" w:space="0" w:color="FFFFFF"/>
            </w:tcBorders>
            <w:shd w:val="clear" w:color="000000" w:fill="F79646"/>
            <w:noWrap/>
            <w:hideMark/>
          </w:tcPr>
          <w:p w:rsidR="00924A4A" w:rsidRPr="005A1585" w:rsidRDefault="00924A4A" w:rsidP="00A32294">
            <w:pPr>
              <w:spacing w:after="0" w:line="240" w:lineRule="auto"/>
              <w:jc w:val="center"/>
              <w:rPr>
                <w:rFonts w:ascii="Calibri" w:eastAsia="Times New Roman" w:hAnsi="Calibri" w:cs="Times New Roman"/>
                <w:sz w:val="20"/>
                <w:szCs w:val="20"/>
                <w:lang w:eastAsia="sl-SI"/>
              </w:rPr>
            </w:pPr>
            <w:r w:rsidRPr="005A1585">
              <w:rPr>
                <w:rFonts w:ascii="Calibri" w:eastAsia="Times New Roman" w:hAnsi="Calibri" w:cs="Times New Roman"/>
                <w:sz w:val="20"/>
                <w:szCs w:val="20"/>
                <w:lang w:eastAsia="sl-SI"/>
              </w:rPr>
              <w:t>130.690.301 €</w:t>
            </w:r>
          </w:p>
        </w:tc>
        <w:tc>
          <w:tcPr>
            <w:tcW w:w="1483" w:type="dxa"/>
            <w:tcBorders>
              <w:top w:val="nil"/>
              <w:left w:val="nil"/>
              <w:bottom w:val="single" w:sz="4" w:space="0" w:color="FFFFFF"/>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139.791.859 €</w:t>
            </w:r>
          </w:p>
        </w:tc>
        <w:tc>
          <w:tcPr>
            <w:tcW w:w="1432" w:type="dxa"/>
            <w:tcBorders>
              <w:top w:val="nil"/>
              <w:left w:val="nil"/>
              <w:bottom w:val="single" w:sz="4" w:space="0" w:color="FFFFFF"/>
              <w:right w:val="nil"/>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150.397.805 €</w:t>
            </w:r>
          </w:p>
        </w:tc>
      </w:tr>
      <w:tr w:rsidR="00924A4A" w:rsidRPr="005A1585" w:rsidTr="00A32294">
        <w:trPr>
          <w:trHeight w:val="318"/>
          <w:jc w:val="center"/>
        </w:trPr>
        <w:tc>
          <w:tcPr>
            <w:tcW w:w="499" w:type="dxa"/>
            <w:vMerge/>
            <w:tcBorders>
              <w:top w:val="nil"/>
              <w:left w:val="nil"/>
              <w:bottom w:val="nil"/>
              <w:right w:val="nil"/>
            </w:tcBorders>
            <w:hideMark/>
          </w:tcPr>
          <w:p w:rsidR="00924A4A" w:rsidRPr="005A1585" w:rsidRDefault="00924A4A" w:rsidP="00A32294">
            <w:pPr>
              <w:spacing w:after="0" w:line="240" w:lineRule="auto"/>
              <w:jc w:val="center"/>
              <w:rPr>
                <w:rFonts w:ascii="Calibri" w:eastAsia="Times New Roman" w:hAnsi="Calibri" w:cs="Times New Roman"/>
                <w:b/>
                <w:bCs/>
                <w:color w:val="000000"/>
                <w:sz w:val="28"/>
                <w:szCs w:val="28"/>
                <w:lang w:eastAsia="sl-SI"/>
              </w:rPr>
            </w:pPr>
          </w:p>
        </w:tc>
        <w:tc>
          <w:tcPr>
            <w:tcW w:w="929" w:type="dxa"/>
            <w:tcBorders>
              <w:top w:val="nil"/>
              <w:left w:val="nil"/>
              <w:bottom w:val="single" w:sz="4" w:space="0" w:color="FFFFFF"/>
              <w:right w:val="single" w:sz="4" w:space="0" w:color="FFFFFF"/>
            </w:tcBorders>
            <w:shd w:val="clear" w:color="4F81BD" w:fill="4F81BD"/>
            <w:noWrap/>
            <w:hideMark/>
          </w:tcPr>
          <w:p w:rsidR="00924A4A" w:rsidRPr="005A1585" w:rsidRDefault="00924A4A" w:rsidP="00A32294">
            <w:pPr>
              <w:spacing w:after="0" w:line="240" w:lineRule="auto"/>
              <w:jc w:val="center"/>
              <w:rPr>
                <w:rFonts w:ascii="Calibri" w:eastAsia="Times New Roman" w:hAnsi="Calibri" w:cs="Times New Roman"/>
                <w:b/>
                <w:bCs/>
                <w:color w:val="FFFFFF"/>
                <w:lang w:eastAsia="sl-SI"/>
              </w:rPr>
            </w:pPr>
            <w:r w:rsidRPr="005A1585">
              <w:rPr>
                <w:rFonts w:ascii="Calibri" w:eastAsia="Times New Roman" w:hAnsi="Calibri" w:cs="Times New Roman"/>
                <w:b/>
                <w:bCs/>
                <w:color w:val="FFFFFF"/>
                <w:lang w:eastAsia="sl-SI"/>
              </w:rPr>
              <w:t>8,03%</w:t>
            </w:r>
          </w:p>
        </w:tc>
        <w:tc>
          <w:tcPr>
            <w:tcW w:w="1471" w:type="dxa"/>
            <w:tcBorders>
              <w:top w:val="nil"/>
              <w:left w:val="nil"/>
              <w:bottom w:val="single" w:sz="4" w:space="0" w:color="FFFFFF"/>
              <w:right w:val="single" w:sz="4" w:space="0" w:color="FFFFFF"/>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96.905.049 €</w:t>
            </w:r>
          </w:p>
        </w:tc>
        <w:tc>
          <w:tcPr>
            <w:tcW w:w="1432" w:type="dxa"/>
            <w:tcBorders>
              <w:top w:val="nil"/>
              <w:left w:val="nil"/>
              <w:bottom w:val="single" w:sz="4" w:space="0" w:color="FFFFFF"/>
              <w:right w:val="single" w:sz="4" w:space="0" w:color="FFFFFF"/>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101.458.077 €</w:t>
            </w:r>
          </w:p>
        </w:tc>
        <w:tc>
          <w:tcPr>
            <w:tcW w:w="1432" w:type="dxa"/>
            <w:tcBorders>
              <w:top w:val="nil"/>
              <w:left w:val="nil"/>
              <w:bottom w:val="single" w:sz="4" w:space="0" w:color="FFFFFF"/>
              <w:right w:val="single" w:sz="4" w:space="0" w:color="FFFFFF"/>
            </w:tcBorders>
            <w:shd w:val="clear" w:color="000000" w:fill="F79646"/>
            <w:noWrap/>
            <w:hideMark/>
          </w:tcPr>
          <w:p w:rsidR="00924A4A" w:rsidRPr="005A1585" w:rsidRDefault="00924A4A" w:rsidP="00A32294">
            <w:pPr>
              <w:spacing w:after="0" w:line="240" w:lineRule="auto"/>
              <w:jc w:val="center"/>
              <w:rPr>
                <w:rFonts w:ascii="Calibri" w:eastAsia="Times New Roman" w:hAnsi="Calibri" w:cs="Times New Roman"/>
                <w:sz w:val="20"/>
                <w:szCs w:val="20"/>
                <w:lang w:eastAsia="sl-SI"/>
              </w:rPr>
            </w:pPr>
            <w:r w:rsidRPr="005A1585">
              <w:rPr>
                <w:rFonts w:ascii="Calibri" w:eastAsia="Times New Roman" w:hAnsi="Calibri" w:cs="Times New Roman"/>
                <w:sz w:val="20"/>
                <w:szCs w:val="20"/>
                <w:lang w:eastAsia="sl-SI"/>
              </w:rPr>
              <w:t>106.523.640 €</w:t>
            </w:r>
          </w:p>
        </w:tc>
        <w:tc>
          <w:tcPr>
            <w:tcW w:w="1471" w:type="dxa"/>
            <w:tcBorders>
              <w:top w:val="nil"/>
              <w:left w:val="nil"/>
              <w:bottom w:val="single" w:sz="4" w:space="0" w:color="FFFFFF"/>
              <w:right w:val="single" w:sz="4" w:space="0" w:color="FFFFFF"/>
            </w:tcBorders>
            <w:shd w:val="clear" w:color="000000" w:fill="F79646"/>
            <w:noWrap/>
            <w:hideMark/>
          </w:tcPr>
          <w:p w:rsidR="00924A4A" w:rsidRPr="005A1585" w:rsidRDefault="00924A4A" w:rsidP="00A32294">
            <w:pPr>
              <w:spacing w:after="0" w:line="240" w:lineRule="auto"/>
              <w:jc w:val="center"/>
              <w:rPr>
                <w:rFonts w:ascii="Calibri" w:eastAsia="Times New Roman" w:hAnsi="Calibri" w:cs="Times New Roman"/>
                <w:b/>
                <w:sz w:val="21"/>
                <w:szCs w:val="21"/>
                <w:lang w:eastAsia="sl-SI"/>
              </w:rPr>
            </w:pPr>
            <w:r w:rsidRPr="005A1585">
              <w:rPr>
                <w:rFonts w:ascii="Calibri" w:eastAsia="Times New Roman" w:hAnsi="Calibri" w:cs="Times New Roman"/>
                <w:b/>
                <w:sz w:val="21"/>
                <w:szCs w:val="21"/>
                <w:lang w:eastAsia="sl-SI"/>
              </w:rPr>
              <w:t>112.193.445 €</w:t>
            </w:r>
          </w:p>
        </w:tc>
        <w:tc>
          <w:tcPr>
            <w:tcW w:w="1483" w:type="dxa"/>
            <w:tcBorders>
              <w:top w:val="nil"/>
              <w:left w:val="nil"/>
              <w:bottom w:val="single" w:sz="4" w:space="0" w:color="FFFFFF"/>
              <w:right w:val="single" w:sz="4" w:space="0" w:color="FFFFFF"/>
            </w:tcBorders>
            <w:shd w:val="clear" w:color="000000" w:fill="F79646"/>
            <w:noWrap/>
            <w:hideMark/>
          </w:tcPr>
          <w:p w:rsidR="00924A4A" w:rsidRPr="005A1585" w:rsidRDefault="00924A4A" w:rsidP="00A32294">
            <w:pPr>
              <w:spacing w:after="0" w:line="240" w:lineRule="auto"/>
              <w:jc w:val="center"/>
              <w:rPr>
                <w:rFonts w:ascii="Calibri" w:eastAsia="Times New Roman" w:hAnsi="Calibri" w:cs="Times New Roman"/>
                <w:sz w:val="20"/>
                <w:szCs w:val="20"/>
                <w:lang w:eastAsia="sl-SI"/>
              </w:rPr>
            </w:pPr>
            <w:r w:rsidRPr="005A1585">
              <w:rPr>
                <w:rFonts w:ascii="Calibri" w:eastAsia="Times New Roman" w:hAnsi="Calibri" w:cs="Times New Roman"/>
                <w:sz w:val="20"/>
                <w:szCs w:val="20"/>
                <w:lang w:eastAsia="sl-SI"/>
              </w:rPr>
              <w:t>118.582.465 €</w:t>
            </w:r>
          </w:p>
        </w:tc>
        <w:tc>
          <w:tcPr>
            <w:tcW w:w="1483" w:type="dxa"/>
            <w:tcBorders>
              <w:top w:val="nil"/>
              <w:left w:val="nil"/>
              <w:bottom w:val="single" w:sz="4" w:space="0" w:color="FFFFFF"/>
              <w:right w:val="single" w:sz="4" w:space="0" w:color="FFFFFF"/>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125.836.815 €</w:t>
            </w:r>
          </w:p>
        </w:tc>
        <w:tc>
          <w:tcPr>
            <w:tcW w:w="1432" w:type="dxa"/>
            <w:tcBorders>
              <w:top w:val="nil"/>
              <w:left w:val="nil"/>
              <w:bottom w:val="single" w:sz="4" w:space="0" w:color="FFFFFF"/>
              <w:right w:val="nil"/>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134.145.065 €</w:t>
            </w:r>
          </w:p>
        </w:tc>
      </w:tr>
      <w:tr w:rsidR="00924A4A" w:rsidRPr="005A1585" w:rsidTr="00A32294">
        <w:trPr>
          <w:trHeight w:val="318"/>
          <w:jc w:val="center"/>
        </w:trPr>
        <w:tc>
          <w:tcPr>
            <w:tcW w:w="499" w:type="dxa"/>
            <w:vMerge/>
            <w:tcBorders>
              <w:top w:val="nil"/>
              <w:left w:val="nil"/>
              <w:bottom w:val="nil"/>
              <w:right w:val="nil"/>
            </w:tcBorders>
            <w:hideMark/>
          </w:tcPr>
          <w:p w:rsidR="00924A4A" w:rsidRPr="005A1585" w:rsidRDefault="00924A4A" w:rsidP="00A32294">
            <w:pPr>
              <w:spacing w:after="0" w:line="240" w:lineRule="auto"/>
              <w:jc w:val="center"/>
              <w:rPr>
                <w:rFonts w:ascii="Calibri" w:eastAsia="Times New Roman" w:hAnsi="Calibri" w:cs="Times New Roman"/>
                <w:b/>
                <w:bCs/>
                <w:color w:val="000000"/>
                <w:sz w:val="28"/>
                <w:szCs w:val="28"/>
                <w:lang w:eastAsia="sl-SI"/>
              </w:rPr>
            </w:pPr>
          </w:p>
        </w:tc>
        <w:tc>
          <w:tcPr>
            <w:tcW w:w="929" w:type="dxa"/>
            <w:tcBorders>
              <w:top w:val="nil"/>
              <w:left w:val="nil"/>
              <w:bottom w:val="single" w:sz="4" w:space="0" w:color="FFFFFF"/>
              <w:right w:val="single" w:sz="4" w:space="0" w:color="FFFFFF"/>
            </w:tcBorders>
            <w:shd w:val="clear" w:color="4F81BD" w:fill="4F81BD"/>
            <w:noWrap/>
            <w:hideMark/>
          </w:tcPr>
          <w:p w:rsidR="00924A4A" w:rsidRPr="005A1585" w:rsidRDefault="00924A4A" w:rsidP="00A32294">
            <w:pPr>
              <w:spacing w:after="0" w:line="240" w:lineRule="auto"/>
              <w:jc w:val="center"/>
              <w:rPr>
                <w:rFonts w:ascii="Calibri" w:eastAsia="Times New Roman" w:hAnsi="Calibri" w:cs="Times New Roman"/>
                <w:b/>
                <w:bCs/>
                <w:color w:val="FFFFFF"/>
                <w:lang w:eastAsia="sl-SI"/>
              </w:rPr>
            </w:pPr>
            <w:r w:rsidRPr="005A1585">
              <w:rPr>
                <w:rFonts w:ascii="Calibri" w:eastAsia="Times New Roman" w:hAnsi="Calibri" w:cs="Times New Roman"/>
                <w:b/>
                <w:bCs/>
                <w:color w:val="FFFFFF"/>
                <w:lang w:eastAsia="sl-SI"/>
              </w:rPr>
              <w:t>8,53%</w:t>
            </w:r>
          </w:p>
        </w:tc>
        <w:tc>
          <w:tcPr>
            <w:tcW w:w="1471" w:type="dxa"/>
            <w:tcBorders>
              <w:top w:val="nil"/>
              <w:left w:val="nil"/>
              <w:bottom w:val="single" w:sz="4" w:space="0" w:color="FFFFFF"/>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90.625.510 €</w:t>
            </w:r>
          </w:p>
        </w:tc>
        <w:tc>
          <w:tcPr>
            <w:tcW w:w="1432" w:type="dxa"/>
            <w:tcBorders>
              <w:top w:val="nil"/>
              <w:left w:val="nil"/>
              <w:bottom w:val="single" w:sz="4" w:space="0" w:color="FFFFFF"/>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94.499.846 €</w:t>
            </w:r>
          </w:p>
        </w:tc>
        <w:tc>
          <w:tcPr>
            <w:tcW w:w="1432" w:type="dxa"/>
            <w:tcBorders>
              <w:top w:val="nil"/>
              <w:left w:val="nil"/>
              <w:bottom w:val="single" w:sz="4" w:space="0" w:color="FFFFFF"/>
              <w:right w:val="single" w:sz="4" w:space="0" w:color="FFFFFF"/>
            </w:tcBorders>
            <w:shd w:val="clear" w:color="000000" w:fill="F79646"/>
            <w:noWrap/>
            <w:hideMark/>
          </w:tcPr>
          <w:p w:rsidR="00924A4A" w:rsidRPr="005A1585" w:rsidRDefault="00924A4A" w:rsidP="00A32294">
            <w:pPr>
              <w:spacing w:after="0" w:line="240" w:lineRule="auto"/>
              <w:jc w:val="center"/>
              <w:rPr>
                <w:rFonts w:ascii="Calibri" w:eastAsia="Times New Roman" w:hAnsi="Calibri" w:cs="Times New Roman"/>
                <w:sz w:val="20"/>
                <w:szCs w:val="20"/>
                <w:lang w:eastAsia="sl-SI"/>
              </w:rPr>
            </w:pPr>
            <w:r w:rsidRPr="005A1585">
              <w:rPr>
                <w:rFonts w:ascii="Calibri" w:eastAsia="Times New Roman" w:hAnsi="Calibri" w:cs="Times New Roman"/>
                <w:sz w:val="20"/>
                <w:szCs w:val="20"/>
                <w:lang w:eastAsia="sl-SI"/>
              </w:rPr>
              <w:t>98.772.914 €</w:t>
            </w:r>
          </w:p>
        </w:tc>
        <w:tc>
          <w:tcPr>
            <w:tcW w:w="1471" w:type="dxa"/>
            <w:tcBorders>
              <w:top w:val="nil"/>
              <w:left w:val="nil"/>
              <w:bottom w:val="single" w:sz="4" w:space="0" w:color="FFFFFF"/>
              <w:right w:val="single" w:sz="4" w:space="0" w:color="FFFFFF"/>
            </w:tcBorders>
            <w:shd w:val="clear" w:color="000000" w:fill="F79646"/>
            <w:noWrap/>
            <w:hideMark/>
          </w:tcPr>
          <w:p w:rsidR="00924A4A" w:rsidRPr="005A1585" w:rsidRDefault="00924A4A" w:rsidP="00A32294">
            <w:pPr>
              <w:spacing w:after="0" w:line="240" w:lineRule="auto"/>
              <w:jc w:val="center"/>
              <w:rPr>
                <w:rFonts w:ascii="Calibri" w:eastAsia="Times New Roman" w:hAnsi="Calibri" w:cs="Times New Roman"/>
                <w:sz w:val="20"/>
                <w:szCs w:val="20"/>
                <w:lang w:eastAsia="sl-SI"/>
              </w:rPr>
            </w:pPr>
            <w:r w:rsidRPr="005A1585">
              <w:rPr>
                <w:rFonts w:ascii="Calibri" w:eastAsia="Times New Roman" w:hAnsi="Calibri" w:cs="Times New Roman"/>
                <w:sz w:val="20"/>
                <w:szCs w:val="20"/>
                <w:lang w:eastAsia="sl-SI"/>
              </w:rPr>
              <w:t>103.509.605 €</w:t>
            </w:r>
          </w:p>
        </w:tc>
        <w:tc>
          <w:tcPr>
            <w:tcW w:w="1483" w:type="dxa"/>
            <w:tcBorders>
              <w:top w:val="nil"/>
              <w:left w:val="nil"/>
              <w:bottom w:val="single" w:sz="4" w:space="0" w:color="FFFFFF"/>
              <w:right w:val="single" w:sz="4" w:space="0" w:color="FFFFFF"/>
            </w:tcBorders>
            <w:shd w:val="clear" w:color="000000" w:fill="F79646"/>
            <w:noWrap/>
            <w:hideMark/>
          </w:tcPr>
          <w:p w:rsidR="00924A4A" w:rsidRPr="005A1585" w:rsidRDefault="00924A4A" w:rsidP="00A32294">
            <w:pPr>
              <w:spacing w:after="0" w:line="240" w:lineRule="auto"/>
              <w:jc w:val="center"/>
              <w:rPr>
                <w:rFonts w:ascii="Calibri" w:eastAsia="Times New Roman" w:hAnsi="Calibri" w:cs="Times New Roman"/>
                <w:sz w:val="20"/>
                <w:szCs w:val="20"/>
                <w:lang w:eastAsia="sl-SI"/>
              </w:rPr>
            </w:pPr>
            <w:r w:rsidRPr="005A1585">
              <w:rPr>
                <w:rFonts w:ascii="Calibri" w:eastAsia="Times New Roman" w:hAnsi="Calibri" w:cs="Times New Roman"/>
                <w:sz w:val="20"/>
                <w:szCs w:val="20"/>
                <w:lang w:eastAsia="sl-SI"/>
              </w:rPr>
              <w:t>108.789.703 €</w:t>
            </w:r>
          </w:p>
        </w:tc>
        <w:tc>
          <w:tcPr>
            <w:tcW w:w="1483" w:type="dxa"/>
            <w:tcBorders>
              <w:top w:val="nil"/>
              <w:left w:val="nil"/>
              <w:bottom w:val="single" w:sz="4" w:space="0" w:color="FFFFFF"/>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114.712.409 €</w:t>
            </w:r>
          </w:p>
        </w:tc>
        <w:tc>
          <w:tcPr>
            <w:tcW w:w="1432" w:type="dxa"/>
            <w:tcBorders>
              <w:top w:val="nil"/>
              <w:left w:val="nil"/>
              <w:bottom w:val="single" w:sz="4" w:space="0" w:color="FFFFFF"/>
              <w:right w:val="nil"/>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121.402.636 €</w:t>
            </w:r>
          </w:p>
        </w:tc>
      </w:tr>
      <w:tr w:rsidR="00924A4A" w:rsidRPr="005A1585" w:rsidTr="00A32294">
        <w:trPr>
          <w:trHeight w:val="318"/>
          <w:jc w:val="center"/>
        </w:trPr>
        <w:tc>
          <w:tcPr>
            <w:tcW w:w="499" w:type="dxa"/>
            <w:vMerge/>
            <w:tcBorders>
              <w:top w:val="nil"/>
              <w:left w:val="nil"/>
              <w:bottom w:val="nil"/>
              <w:right w:val="nil"/>
            </w:tcBorders>
            <w:hideMark/>
          </w:tcPr>
          <w:p w:rsidR="00924A4A" w:rsidRPr="005A1585" w:rsidRDefault="00924A4A" w:rsidP="00A32294">
            <w:pPr>
              <w:spacing w:after="0" w:line="240" w:lineRule="auto"/>
              <w:jc w:val="center"/>
              <w:rPr>
                <w:rFonts w:ascii="Calibri" w:eastAsia="Times New Roman" w:hAnsi="Calibri" w:cs="Times New Roman"/>
                <w:b/>
                <w:bCs/>
                <w:color w:val="000000"/>
                <w:sz w:val="28"/>
                <w:szCs w:val="28"/>
                <w:lang w:eastAsia="sl-SI"/>
              </w:rPr>
            </w:pPr>
          </w:p>
        </w:tc>
        <w:tc>
          <w:tcPr>
            <w:tcW w:w="929" w:type="dxa"/>
            <w:tcBorders>
              <w:top w:val="nil"/>
              <w:left w:val="nil"/>
              <w:bottom w:val="single" w:sz="4" w:space="0" w:color="FFFFFF"/>
              <w:right w:val="single" w:sz="4" w:space="0" w:color="FFFFFF"/>
            </w:tcBorders>
            <w:shd w:val="clear" w:color="4F81BD" w:fill="4F81BD"/>
            <w:noWrap/>
            <w:hideMark/>
          </w:tcPr>
          <w:p w:rsidR="00924A4A" w:rsidRPr="005A1585" w:rsidRDefault="00924A4A" w:rsidP="00A32294">
            <w:pPr>
              <w:spacing w:after="0" w:line="240" w:lineRule="auto"/>
              <w:jc w:val="center"/>
              <w:rPr>
                <w:rFonts w:ascii="Calibri" w:eastAsia="Times New Roman" w:hAnsi="Calibri" w:cs="Times New Roman"/>
                <w:b/>
                <w:bCs/>
                <w:color w:val="FFFFFF"/>
                <w:lang w:eastAsia="sl-SI"/>
              </w:rPr>
            </w:pPr>
            <w:r w:rsidRPr="005A1585">
              <w:rPr>
                <w:rFonts w:ascii="Calibri" w:eastAsia="Times New Roman" w:hAnsi="Calibri" w:cs="Times New Roman"/>
                <w:b/>
                <w:bCs/>
                <w:color w:val="FFFFFF"/>
                <w:lang w:eastAsia="sl-SI"/>
              </w:rPr>
              <w:t>9,03%</w:t>
            </w:r>
          </w:p>
        </w:tc>
        <w:tc>
          <w:tcPr>
            <w:tcW w:w="1471" w:type="dxa"/>
            <w:tcBorders>
              <w:top w:val="nil"/>
              <w:left w:val="nil"/>
              <w:bottom w:val="single" w:sz="4" w:space="0" w:color="FFFFFF"/>
              <w:right w:val="single" w:sz="4" w:space="0" w:color="FFFFFF"/>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85.252.109 €</w:t>
            </w:r>
          </w:p>
        </w:tc>
        <w:tc>
          <w:tcPr>
            <w:tcW w:w="1432" w:type="dxa"/>
            <w:tcBorders>
              <w:top w:val="nil"/>
              <w:left w:val="nil"/>
              <w:bottom w:val="single" w:sz="4" w:space="0" w:color="FFFFFF"/>
              <w:right w:val="single" w:sz="4" w:space="0" w:color="FFFFFF"/>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88.591.122 €</w:t>
            </w:r>
          </w:p>
        </w:tc>
        <w:tc>
          <w:tcPr>
            <w:tcW w:w="1432" w:type="dxa"/>
            <w:tcBorders>
              <w:top w:val="nil"/>
              <w:left w:val="nil"/>
              <w:bottom w:val="single" w:sz="4" w:space="0" w:color="FFFFFF"/>
              <w:right w:val="single" w:sz="4" w:space="0" w:color="FFFFFF"/>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92.246.631 €</w:t>
            </w:r>
          </w:p>
        </w:tc>
        <w:tc>
          <w:tcPr>
            <w:tcW w:w="1471" w:type="dxa"/>
            <w:tcBorders>
              <w:top w:val="nil"/>
              <w:left w:val="nil"/>
              <w:bottom w:val="single" w:sz="4" w:space="0" w:color="FFFFFF"/>
              <w:right w:val="single" w:sz="4" w:space="0" w:color="FFFFFF"/>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96.265.871 €</w:t>
            </w:r>
          </w:p>
        </w:tc>
        <w:tc>
          <w:tcPr>
            <w:tcW w:w="1483" w:type="dxa"/>
            <w:tcBorders>
              <w:top w:val="nil"/>
              <w:left w:val="nil"/>
              <w:bottom w:val="single" w:sz="4" w:space="0" w:color="FFFFFF"/>
              <w:right w:val="single" w:sz="4" w:space="0" w:color="FFFFFF"/>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100.705.974 €</w:t>
            </w:r>
          </w:p>
        </w:tc>
        <w:tc>
          <w:tcPr>
            <w:tcW w:w="1483" w:type="dxa"/>
            <w:tcBorders>
              <w:top w:val="nil"/>
              <w:left w:val="nil"/>
              <w:bottom w:val="single" w:sz="4" w:space="0" w:color="FFFFFF"/>
              <w:right w:val="single" w:sz="4" w:space="0" w:color="FFFFFF"/>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105.636.696 €</w:t>
            </w:r>
          </w:p>
        </w:tc>
        <w:tc>
          <w:tcPr>
            <w:tcW w:w="1432" w:type="dxa"/>
            <w:tcBorders>
              <w:top w:val="nil"/>
              <w:left w:val="nil"/>
              <w:bottom w:val="single" w:sz="4" w:space="0" w:color="FFFFFF"/>
              <w:right w:val="nil"/>
            </w:tcBorders>
            <w:shd w:val="clear" w:color="DBE5F1" w:fill="DBE5F1"/>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111.144.111 €</w:t>
            </w:r>
          </w:p>
        </w:tc>
      </w:tr>
      <w:tr w:rsidR="00924A4A" w:rsidRPr="005A1585" w:rsidTr="00A32294">
        <w:trPr>
          <w:trHeight w:val="318"/>
          <w:jc w:val="center"/>
        </w:trPr>
        <w:tc>
          <w:tcPr>
            <w:tcW w:w="499" w:type="dxa"/>
            <w:vMerge/>
            <w:tcBorders>
              <w:top w:val="nil"/>
              <w:left w:val="nil"/>
              <w:bottom w:val="nil"/>
              <w:right w:val="nil"/>
            </w:tcBorders>
            <w:hideMark/>
          </w:tcPr>
          <w:p w:rsidR="00924A4A" w:rsidRPr="005A1585" w:rsidRDefault="00924A4A" w:rsidP="00A32294">
            <w:pPr>
              <w:spacing w:after="0" w:line="240" w:lineRule="auto"/>
              <w:jc w:val="center"/>
              <w:rPr>
                <w:rFonts w:ascii="Calibri" w:eastAsia="Times New Roman" w:hAnsi="Calibri" w:cs="Times New Roman"/>
                <w:b/>
                <w:bCs/>
                <w:color w:val="000000"/>
                <w:sz w:val="28"/>
                <w:szCs w:val="28"/>
                <w:lang w:eastAsia="sl-SI"/>
              </w:rPr>
            </w:pPr>
          </w:p>
        </w:tc>
        <w:tc>
          <w:tcPr>
            <w:tcW w:w="929" w:type="dxa"/>
            <w:tcBorders>
              <w:top w:val="nil"/>
              <w:left w:val="nil"/>
              <w:bottom w:val="nil"/>
              <w:right w:val="single" w:sz="4" w:space="0" w:color="FFFFFF"/>
            </w:tcBorders>
            <w:shd w:val="clear" w:color="4F81BD" w:fill="4F81BD"/>
            <w:noWrap/>
            <w:hideMark/>
          </w:tcPr>
          <w:p w:rsidR="00924A4A" w:rsidRPr="005A1585" w:rsidRDefault="00924A4A" w:rsidP="00A32294">
            <w:pPr>
              <w:spacing w:after="0" w:line="240" w:lineRule="auto"/>
              <w:jc w:val="center"/>
              <w:rPr>
                <w:rFonts w:ascii="Calibri" w:eastAsia="Times New Roman" w:hAnsi="Calibri" w:cs="Times New Roman"/>
                <w:b/>
                <w:bCs/>
                <w:color w:val="FFFFFF"/>
                <w:lang w:eastAsia="sl-SI"/>
              </w:rPr>
            </w:pPr>
            <w:r w:rsidRPr="005A1585">
              <w:rPr>
                <w:rFonts w:ascii="Calibri" w:eastAsia="Times New Roman" w:hAnsi="Calibri" w:cs="Times New Roman"/>
                <w:b/>
                <w:bCs/>
                <w:color w:val="FFFFFF"/>
                <w:lang w:eastAsia="sl-SI"/>
              </w:rPr>
              <w:t>9,53%</w:t>
            </w:r>
          </w:p>
        </w:tc>
        <w:tc>
          <w:tcPr>
            <w:tcW w:w="1471" w:type="dxa"/>
            <w:tcBorders>
              <w:top w:val="nil"/>
              <w:left w:val="nil"/>
              <w:bottom w:val="nil"/>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80.601.911 €</w:t>
            </w:r>
          </w:p>
        </w:tc>
        <w:tc>
          <w:tcPr>
            <w:tcW w:w="1432" w:type="dxa"/>
            <w:tcBorders>
              <w:top w:val="nil"/>
              <w:left w:val="nil"/>
              <w:bottom w:val="nil"/>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83.511.112 €</w:t>
            </w:r>
          </w:p>
        </w:tc>
        <w:tc>
          <w:tcPr>
            <w:tcW w:w="1432" w:type="dxa"/>
            <w:tcBorders>
              <w:top w:val="nil"/>
              <w:left w:val="nil"/>
              <w:bottom w:val="nil"/>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86.675.879 €</w:t>
            </w:r>
          </w:p>
        </w:tc>
        <w:tc>
          <w:tcPr>
            <w:tcW w:w="1471" w:type="dxa"/>
            <w:tcBorders>
              <w:top w:val="nil"/>
              <w:left w:val="nil"/>
              <w:bottom w:val="nil"/>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90.131.437 €</w:t>
            </w:r>
          </w:p>
        </w:tc>
        <w:tc>
          <w:tcPr>
            <w:tcW w:w="1483" w:type="dxa"/>
            <w:tcBorders>
              <w:top w:val="nil"/>
              <w:left w:val="nil"/>
              <w:bottom w:val="nil"/>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93.919.794 €</w:t>
            </w:r>
          </w:p>
        </w:tc>
        <w:tc>
          <w:tcPr>
            <w:tcW w:w="1483" w:type="dxa"/>
            <w:tcBorders>
              <w:top w:val="nil"/>
              <w:left w:val="nil"/>
              <w:bottom w:val="nil"/>
              <w:right w:val="single" w:sz="4" w:space="0" w:color="FFFFFF"/>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98.091.458 €</w:t>
            </w:r>
          </w:p>
        </w:tc>
        <w:tc>
          <w:tcPr>
            <w:tcW w:w="1432" w:type="dxa"/>
            <w:tcBorders>
              <w:top w:val="nil"/>
              <w:left w:val="nil"/>
              <w:bottom w:val="nil"/>
              <w:right w:val="nil"/>
            </w:tcBorders>
            <w:shd w:val="clear" w:color="B8CCE4" w:fill="B8CCE4"/>
            <w:noWrap/>
            <w:hideMark/>
          </w:tcPr>
          <w:p w:rsidR="00924A4A" w:rsidRPr="005A1585" w:rsidRDefault="00924A4A" w:rsidP="00A32294">
            <w:pPr>
              <w:spacing w:after="0" w:line="240" w:lineRule="auto"/>
              <w:jc w:val="center"/>
              <w:rPr>
                <w:rFonts w:ascii="Calibri" w:eastAsia="Times New Roman" w:hAnsi="Calibri" w:cs="Times New Roman"/>
                <w:color w:val="000000"/>
                <w:sz w:val="20"/>
                <w:szCs w:val="20"/>
                <w:lang w:eastAsia="sl-SI"/>
              </w:rPr>
            </w:pPr>
            <w:r w:rsidRPr="005A1585">
              <w:rPr>
                <w:rFonts w:ascii="Calibri" w:eastAsia="Times New Roman" w:hAnsi="Calibri" w:cs="Times New Roman"/>
                <w:color w:val="000000"/>
                <w:sz w:val="20"/>
                <w:szCs w:val="20"/>
                <w:lang w:eastAsia="sl-SI"/>
              </w:rPr>
              <w:t>102.707.704 €</w:t>
            </w:r>
          </w:p>
        </w:tc>
      </w:tr>
    </w:tbl>
    <w:p w:rsidR="00EE7352" w:rsidRDefault="00EE7352" w:rsidP="000551BF">
      <w:pPr>
        <w:spacing w:after="0" w:line="360" w:lineRule="auto"/>
        <w:jc w:val="both"/>
        <w:rPr>
          <w:rFonts w:ascii="Times New Roman" w:hAnsi="Times New Roman" w:cs="Times New Roman"/>
          <w:sz w:val="24"/>
          <w:szCs w:val="24"/>
        </w:rPr>
      </w:pPr>
    </w:p>
    <w:p w:rsidR="00504760" w:rsidRPr="00A41085" w:rsidRDefault="00504760" w:rsidP="000551BF">
      <w:pPr>
        <w:spacing w:after="0" w:line="360" w:lineRule="auto"/>
        <w:jc w:val="both"/>
        <w:rPr>
          <w:rFonts w:ascii="Times New Roman" w:hAnsi="Times New Roman" w:cs="Times New Roman"/>
          <w:sz w:val="24"/>
          <w:szCs w:val="24"/>
        </w:rPr>
      </w:pPr>
      <w:r w:rsidRPr="00A41085">
        <w:rPr>
          <w:rFonts w:ascii="Times New Roman" w:hAnsi="Times New Roman" w:cs="Times New Roman"/>
          <w:sz w:val="24"/>
          <w:szCs w:val="24"/>
        </w:rPr>
        <w:t xml:space="preserve">Pri analizi občutljivosti smo izračunali spremembe vrednosti lastniškega kapitala podjetje na spremembe WACC-a in spremembe dolgoročne stopnje rasti (g). Rezultate analize občutljivosti smo prikazali v spodnji tabeli. </w:t>
      </w:r>
    </w:p>
    <w:p w:rsidR="00504760" w:rsidRPr="00A41085" w:rsidRDefault="00504760" w:rsidP="00504760">
      <w:pPr>
        <w:spacing w:line="360" w:lineRule="auto"/>
        <w:jc w:val="both"/>
        <w:rPr>
          <w:rFonts w:ascii="Times New Roman" w:hAnsi="Times New Roman" w:cs="Times New Roman"/>
          <w:sz w:val="24"/>
          <w:szCs w:val="24"/>
        </w:rPr>
      </w:pPr>
      <w:r w:rsidRPr="00A41085">
        <w:rPr>
          <w:rFonts w:ascii="Times New Roman" w:hAnsi="Times New Roman" w:cs="Times New Roman"/>
          <w:sz w:val="24"/>
          <w:szCs w:val="24"/>
        </w:rPr>
        <w:t>Kot je bilo omenjeno že v predhodnih delih seminarske naloge smo za dolgoročno stopnjo rasti podjetja vzeli kar predvideno stopnjo rasti BDP-ja držav v katerih SAM proda največ svojih izdelkov. Ker so to napovedi v prihodnost in niso čisto zanesljive, razlog za še bolj težko in neugodno predvidevanje je tudi trenutna gospodarska in finančna kriza v Evropi, smo v analizi občutljivosti vzeli različne vrednosti za dolgoročno stopnjo rasti. Dolgoročno stopnjo rasti smo zviševali in zniževali po 0,3 odstotne točke. V skupini smo mnenja, da dolgoročna stopnja rasti BDP-ja v teh državah v naslednjih letih ne bo manjša kot 2,1% saj gre za države, ki so v Evropi najbolj razvite in je tudi njihovo gospodarsko stanje trenutno dokaj stabilno in njihovi trgi kažejo znake okrevanja po krizi in znake rasti v prihodnosti. Te države so Nemčija, Francija in skandinavske države. Ravno tako pa tudi na drugi strani ne pričakujemo, da bi ti trgi rasli zelo hitro, ne več kot 3,9% na letni ravni, saj gre za zrela gospodarstva, ki so že zelo dobro razvita, zato v prihodnosti ni za pričakovati kakšne zelo hitre rasti na letni ravni. Predvidevamo in pričakujemo stabilno rast BDP-ja teh držav okoli 3% na leto.</w:t>
      </w:r>
    </w:p>
    <w:p w:rsidR="00504760" w:rsidRPr="00A41085" w:rsidRDefault="00504760" w:rsidP="00504760">
      <w:pPr>
        <w:spacing w:line="360" w:lineRule="auto"/>
        <w:jc w:val="both"/>
        <w:rPr>
          <w:rFonts w:ascii="Times New Roman" w:hAnsi="Times New Roman" w:cs="Times New Roman"/>
          <w:sz w:val="24"/>
          <w:szCs w:val="24"/>
        </w:rPr>
      </w:pPr>
      <w:r w:rsidRPr="00A41085">
        <w:rPr>
          <w:rFonts w:ascii="Times New Roman" w:hAnsi="Times New Roman" w:cs="Times New Roman"/>
          <w:sz w:val="24"/>
          <w:szCs w:val="24"/>
        </w:rPr>
        <w:t>Tudi WACC podjetje je težko natančno določiti, zato smo tudi WACC spreminjali (0,5 odstotne točke), da smo dobili rezultate za različne vrednosti. Možnost, da smo naredili</w:t>
      </w:r>
      <w:r>
        <w:rPr>
          <w:sz w:val="24"/>
          <w:szCs w:val="24"/>
        </w:rPr>
        <w:t xml:space="preserve"> </w:t>
      </w:r>
      <w:r w:rsidRPr="00A41085">
        <w:rPr>
          <w:rFonts w:ascii="Times New Roman" w:hAnsi="Times New Roman" w:cs="Times New Roman"/>
          <w:sz w:val="24"/>
          <w:szCs w:val="24"/>
        </w:rPr>
        <w:t xml:space="preserve">napako pri oceni WACC vrednosti je predvsem v modelu CAPM in oceni donosa na lastniški kapital podjetja. Predvsem vrednost sistematičnega tveganja beta je težko oceniti, saj je zelo </w:t>
      </w:r>
      <w:proofErr w:type="spellStart"/>
      <w:r w:rsidRPr="00A41085">
        <w:rPr>
          <w:rFonts w:ascii="Times New Roman" w:hAnsi="Times New Roman" w:cs="Times New Roman"/>
          <w:sz w:val="24"/>
          <w:szCs w:val="24"/>
        </w:rPr>
        <w:t>volatilna</w:t>
      </w:r>
      <w:proofErr w:type="spellEnd"/>
      <w:r w:rsidRPr="00A41085">
        <w:rPr>
          <w:rFonts w:ascii="Times New Roman" w:hAnsi="Times New Roman" w:cs="Times New Roman"/>
          <w:sz w:val="24"/>
          <w:szCs w:val="24"/>
        </w:rPr>
        <w:t xml:space="preserve">. Na </w:t>
      </w:r>
      <w:proofErr w:type="spellStart"/>
      <w:r w:rsidRPr="00A41085">
        <w:rPr>
          <w:rFonts w:ascii="Times New Roman" w:hAnsi="Times New Roman" w:cs="Times New Roman"/>
          <w:sz w:val="24"/>
          <w:szCs w:val="24"/>
        </w:rPr>
        <w:t>Damodaranu</w:t>
      </w:r>
      <w:proofErr w:type="spellEnd"/>
      <w:r w:rsidRPr="00A41085">
        <w:rPr>
          <w:rFonts w:ascii="Times New Roman" w:hAnsi="Times New Roman" w:cs="Times New Roman"/>
          <w:sz w:val="24"/>
          <w:szCs w:val="24"/>
        </w:rPr>
        <w:t xml:space="preserve"> nismo dobili točnih podatkov za panogo v kateri posluje podjetje SAM. Zato smo za vrednost bete pogledali pri </w:t>
      </w:r>
      <w:proofErr w:type="spellStart"/>
      <w:r w:rsidRPr="00A41085">
        <w:rPr>
          <w:rFonts w:ascii="Times New Roman" w:hAnsi="Times New Roman" w:cs="Times New Roman"/>
          <w:sz w:val="24"/>
          <w:szCs w:val="24"/>
        </w:rPr>
        <w:t>Triganu</w:t>
      </w:r>
      <w:proofErr w:type="spellEnd"/>
      <w:r w:rsidRPr="00A41085">
        <w:rPr>
          <w:rFonts w:ascii="Times New Roman" w:hAnsi="Times New Roman" w:cs="Times New Roman"/>
          <w:sz w:val="24"/>
          <w:szCs w:val="24"/>
        </w:rPr>
        <w:t xml:space="preserve">, enem od največjih konkurentov in za </w:t>
      </w:r>
      <w:r w:rsidRPr="00A41085">
        <w:rPr>
          <w:rFonts w:ascii="Times New Roman" w:hAnsi="Times New Roman" w:cs="Times New Roman"/>
          <w:sz w:val="24"/>
          <w:szCs w:val="24"/>
        </w:rPr>
        <w:lastRenderedPageBreak/>
        <w:t xml:space="preserve">izračun donosnosti na lastniški kapital vzeli kar beto za </w:t>
      </w:r>
      <w:proofErr w:type="spellStart"/>
      <w:r w:rsidRPr="00A41085">
        <w:rPr>
          <w:rFonts w:ascii="Times New Roman" w:hAnsi="Times New Roman" w:cs="Times New Roman"/>
          <w:sz w:val="24"/>
          <w:szCs w:val="24"/>
        </w:rPr>
        <w:t>Trigano</w:t>
      </w:r>
      <w:proofErr w:type="spellEnd"/>
      <w:r w:rsidRPr="00A41085">
        <w:rPr>
          <w:rFonts w:ascii="Times New Roman" w:hAnsi="Times New Roman" w:cs="Times New Roman"/>
          <w:sz w:val="24"/>
          <w:szCs w:val="24"/>
        </w:rPr>
        <w:t xml:space="preserve">. Vrednost bete je večja kot ena, kar se nam zdi sprejemljivo, saj so izdelki </w:t>
      </w:r>
      <w:proofErr w:type="spellStart"/>
      <w:r w:rsidRPr="00A41085">
        <w:rPr>
          <w:rFonts w:ascii="Times New Roman" w:hAnsi="Times New Roman" w:cs="Times New Roman"/>
          <w:sz w:val="24"/>
          <w:szCs w:val="24"/>
        </w:rPr>
        <w:t>Adrie</w:t>
      </w:r>
      <w:proofErr w:type="spellEnd"/>
      <w:r w:rsidRPr="00A41085">
        <w:rPr>
          <w:rFonts w:ascii="Times New Roman" w:hAnsi="Times New Roman" w:cs="Times New Roman"/>
          <w:sz w:val="24"/>
          <w:szCs w:val="24"/>
        </w:rPr>
        <w:t xml:space="preserve"> </w:t>
      </w:r>
      <w:proofErr w:type="spellStart"/>
      <w:r w:rsidRPr="00A41085">
        <w:rPr>
          <w:rFonts w:ascii="Times New Roman" w:hAnsi="Times New Roman" w:cs="Times New Roman"/>
          <w:sz w:val="24"/>
          <w:szCs w:val="24"/>
        </w:rPr>
        <w:t>Mobil</w:t>
      </w:r>
      <w:proofErr w:type="spellEnd"/>
      <w:r w:rsidRPr="00A41085">
        <w:rPr>
          <w:rFonts w:ascii="Times New Roman" w:hAnsi="Times New Roman" w:cs="Times New Roman"/>
          <w:sz w:val="24"/>
          <w:szCs w:val="24"/>
        </w:rPr>
        <w:t xml:space="preserve"> luksuzni izdelki in so bolj občutljivi na spremembe dohodka prebivalstva kot osnovne dobrine. Na vrednost WACC-a pa lahko vpliva tudi sprememba premija za deželno tveganje in sicer preko tržne premije za tveganje pri izračunu donosnosti na lastniški kapital. Premija za deželno tveganje se je za Slovenijo v zadnjih letih že kar nekajkrat spremenila, zato lahko spremembe pričakujemo tudi v prihodnje. Te spremembe so lahko na bolje ali na slabše saj je trenutno ekonomsko stanje v državi dokaj nepredvidljivo zaradi ekonomske krize.</w:t>
      </w:r>
    </w:p>
    <w:p w:rsidR="008B360F" w:rsidRDefault="008B360F" w:rsidP="00F14343">
      <w:pPr>
        <w:pStyle w:val="Heading1"/>
        <w:numPr>
          <w:ilvl w:val="0"/>
          <w:numId w:val="4"/>
        </w:numPr>
        <w:spacing w:before="0" w:after="120"/>
      </w:pPr>
      <w:bookmarkStart w:id="24" w:name="_Toc327382758"/>
      <w:r>
        <w:t>DIVIDENDNO DISKONTNI MODEL</w:t>
      </w:r>
      <w:bookmarkEnd w:id="24"/>
    </w:p>
    <w:p w:rsidR="008B360F" w:rsidRPr="00A41085" w:rsidRDefault="008B360F" w:rsidP="00564368">
      <w:pPr>
        <w:spacing w:after="120" w:line="360" w:lineRule="auto"/>
        <w:jc w:val="both"/>
        <w:rPr>
          <w:rFonts w:ascii="Times New Roman" w:hAnsi="Times New Roman" w:cs="Times New Roman"/>
          <w:sz w:val="24"/>
          <w:szCs w:val="24"/>
        </w:rPr>
      </w:pPr>
      <w:r w:rsidRPr="00A41085">
        <w:rPr>
          <w:rFonts w:ascii="Times New Roman" w:hAnsi="Times New Roman" w:cs="Times New Roman"/>
          <w:sz w:val="24"/>
          <w:szCs w:val="24"/>
        </w:rPr>
        <w:t xml:space="preserve">Ker je SAM družba z omejeno odgovornostjo nima delničarjev ampak lastnike, ki imajo v podjetju svoj delež. Ker podjetje nima delnic zato ne moremo računati cene delnice podjetja. Ampak kljub temu, da podjetje ni delniška družba, podjetje izplačuje dividende lastnikom, kar je razvidno iz izkaza gibanja kapitala, ki smo ga priložili med priloge. V izkazu gibanja kapitala je postavka izplačilo dividend in sicer gre za izplačilo prenesenega čistega dobička lastnikom družbe kar zmanjša kapital podjetja za isti znesek. Podjetje v vseh treh letih 2008, 2009 in 2010 lastnikom izplačuje dividende samo iz prenesenega čistega poslovnega izida, čeprav ima v svojem poslovnem poročilu zapisano, da je na razpolago izplačilu dividend poleg prenesenega poslovnega izida tudi čisti poslovni izid. Podjetje je v teh treh letih izplačevalo različne vsote dividend. Za te vsote se dogovorijo lastniki družbe. V letu 2008 so tako izplačali 7,5 milijona evrov v letu 2009 in 2010 pa 5 milijonov evrov. V letih 2008 in 2009 se je končno stanje prenesenega čistega dobička povečevalo, se pravi je podjetje za izplačilo dividend namenilo manj prenesenega dobička kot so prenesli tekočega dobička v naslednje leto. Izjema je leto 2010 v katerem so izplačali več dividend kot so prenesli dobička v leto 2011. </w:t>
      </w:r>
    </w:p>
    <w:p w:rsidR="008B360F" w:rsidRPr="00A41085" w:rsidRDefault="008B360F" w:rsidP="00564368">
      <w:pPr>
        <w:spacing w:after="120" w:line="360" w:lineRule="auto"/>
        <w:jc w:val="both"/>
        <w:rPr>
          <w:rFonts w:ascii="Times New Roman" w:hAnsi="Times New Roman" w:cs="Times New Roman"/>
          <w:sz w:val="24"/>
          <w:szCs w:val="24"/>
        </w:rPr>
      </w:pPr>
      <w:r w:rsidRPr="00A41085">
        <w:rPr>
          <w:rFonts w:ascii="Times New Roman" w:hAnsi="Times New Roman" w:cs="Times New Roman"/>
          <w:sz w:val="24"/>
          <w:szCs w:val="24"/>
        </w:rPr>
        <w:t>Kljub temu, da podjetje ne izplačuje klasičnih dividend smo se vseeno odločili da bomo izračunali vrednost lastniškega kapitala podjetja glede na dividendno diskontni model vrednotenja. Za dividendo smo uporabili izplačilo dividend v letu 2010. Za dolgoročno stopnjo rasti (g) smo uporabili isto vrednost kot pri modelu diskontiranih denarnih tokov. Za diskontno stopnjo pa smo tukaj uporabili stopnjo donosa na lastniški kapital, ki smo jo že izračunali pri metodi diskontiranih denarnih tokov s CAPM modelom. Izračun vrednosti lastniškega kapitala je prikazan v spodnji enačbi.</w:t>
      </w:r>
    </w:p>
    <w:p w:rsidR="008B360F" w:rsidRPr="00A41085" w:rsidRDefault="008B360F" w:rsidP="008B360F">
      <w:pPr>
        <w:pStyle w:val="NoSpacing"/>
        <w:spacing w:line="360" w:lineRule="auto"/>
        <w:rPr>
          <w:rFonts w:ascii="Times New Roman" w:hAnsi="Times New Roman" w:cs="Times New Roman"/>
          <w:sz w:val="40"/>
          <w:szCs w:val="40"/>
        </w:rPr>
      </w:pPr>
      <w:r w:rsidRPr="00A41085">
        <w:rPr>
          <w:rFonts w:ascii="Times New Roman" w:hAnsi="Times New Roman" w:cs="Times New Roman"/>
        </w:rPr>
        <w:t>Dividenda = 5.006.800€</w:t>
      </w:r>
      <w:r w:rsidRPr="00A41085">
        <w:rPr>
          <w:rFonts w:ascii="Times New Roman" w:hAnsi="Times New Roman" w:cs="Times New Roman"/>
        </w:rPr>
        <w:tab/>
      </w:r>
      <w:r w:rsidRPr="00A41085">
        <w:rPr>
          <w:rFonts w:ascii="Times New Roman" w:hAnsi="Times New Roman" w:cs="Times New Roman"/>
        </w:rPr>
        <w:tab/>
      </w:r>
      <w:r w:rsidRPr="00A41085">
        <w:rPr>
          <w:rFonts w:ascii="Times New Roman" w:hAnsi="Times New Roman" w:cs="Times New Roman"/>
        </w:rPr>
        <w:tab/>
      </w:r>
    </w:p>
    <w:p w:rsidR="008B360F" w:rsidRPr="00A41085" w:rsidRDefault="008B360F" w:rsidP="008B360F">
      <w:pPr>
        <w:pStyle w:val="NoSpacing"/>
        <w:spacing w:line="360" w:lineRule="auto"/>
        <w:rPr>
          <w:rFonts w:ascii="Times New Roman" w:hAnsi="Times New Roman" w:cs="Times New Roman"/>
        </w:rPr>
      </w:pPr>
      <w:proofErr w:type="spellStart"/>
      <w:r w:rsidRPr="00A41085">
        <w:rPr>
          <w:rFonts w:ascii="Times New Roman" w:hAnsi="Times New Roman" w:cs="Times New Roman"/>
        </w:rPr>
        <w:t>Re</w:t>
      </w:r>
      <w:proofErr w:type="spellEnd"/>
      <w:r w:rsidRPr="00A41085">
        <w:rPr>
          <w:rFonts w:ascii="Times New Roman" w:hAnsi="Times New Roman" w:cs="Times New Roman"/>
        </w:rPr>
        <w:t xml:space="preserve"> = 11,34%</w:t>
      </w:r>
    </w:p>
    <w:p w:rsidR="008B360F" w:rsidRPr="00A41085" w:rsidRDefault="008B360F" w:rsidP="008B360F">
      <w:pPr>
        <w:pStyle w:val="NoSpacing"/>
        <w:spacing w:line="360" w:lineRule="auto"/>
        <w:rPr>
          <w:rFonts w:ascii="Times New Roman" w:eastAsiaTheme="minorEastAsia" w:hAnsi="Times New Roman" w:cs="Times New Roman"/>
        </w:rPr>
      </w:pPr>
      <w:r w:rsidRPr="00A41085">
        <w:rPr>
          <w:rFonts w:ascii="Times New Roman" w:hAnsi="Times New Roman" w:cs="Times New Roman"/>
        </w:rPr>
        <w:lastRenderedPageBreak/>
        <w:t>g = 3%</w:t>
      </w:r>
    </w:p>
    <w:p w:rsidR="008B360F" w:rsidRPr="003F53D6" w:rsidRDefault="00293E8B" w:rsidP="008B360F">
      <w:pPr>
        <w:jc w:val="center"/>
        <w:rPr>
          <w:rFonts w:ascii="Calibri" w:eastAsia="Times New Roman" w:hAnsi="Calibri" w:cs="Times New Roman"/>
          <w:color w:val="000000"/>
          <w:sz w:val="32"/>
          <w:szCs w:val="32"/>
          <w:lang w:eastAsia="sl-SI"/>
        </w:rPr>
      </w:pPr>
      <m:oMath>
        <m:f>
          <m:fPr>
            <m:ctrlPr>
              <w:rPr>
                <w:rFonts w:ascii="Cambria Math" w:hAnsi="Cambria Math"/>
                <w:i/>
                <w:sz w:val="28"/>
                <w:szCs w:val="40"/>
              </w:rPr>
            </m:ctrlPr>
          </m:fPr>
          <m:num>
            <m:r>
              <w:rPr>
                <w:rFonts w:ascii="Cambria Math" w:hAnsi="Cambria Math"/>
                <w:sz w:val="28"/>
                <w:szCs w:val="40"/>
              </w:rPr>
              <m:t>Div0*</m:t>
            </m:r>
            <m:d>
              <m:dPr>
                <m:ctrlPr>
                  <w:rPr>
                    <w:rFonts w:ascii="Cambria Math" w:hAnsi="Cambria Math"/>
                    <w:i/>
                    <w:sz w:val="28"/>
                    <w:szCs w:val="40"/>
                  </w:rPr>
                </m:ctrlPr>
              </m:dPr>
              <m:e>
                <m:r>
                  <w:rPr>
                    <w:rFonts w:ascii="Cambria Math" w:hAnsi="Cambria Math"/>
                    <w:sz w:val="28"/>
                    <w:szCs w:val="40"/>
                  </w:rPr>
                  <m:t>1+g</m:t>
                </m:r>
              </m:e>
            </m:d>
          </m:num>
          <m:den>
            <m:r>
              <w:rPr>
                <w:rFonts w:ascii="Cambria Math" w:hAnsi="Cambria Math"/>
                <w:sz w:val="28"/>
                <w:szCs w:val="40"/>
              </w:rPr>
              <m:t>Re-g</m:t>
            </m:r>
          </m:den>
        </m:f>
        <m:r>
          <w:rPr>
            <w:rFonts w:ascii="Cambria Math" w:hAnsi="Cambria Math"/>
            <w:sz w:val="28"/>
            <w:szCs w:val="40"/>
          </w:rPr>
          <m:t xml:space="preserve"> </m:t>
        </m:r>
      </m:oMath>
      <w:r w:rsidR="008B360F" w:rsidRPr="003F53D6">
        <w:rPr>
          <w:rFonts w:eastAsiaTheme="minorEastAsia"/>
          <w:sz w:val="36"/>
          <w:szCs w:val="36"/>
        </w:rPr>
        <w:t xml:space="preserve">= </w:t>
      </w:r>
      <w:r w:rsidR="008B360F">
        <w:rPr>
          <w:rFonts w:eastAsiaTheme="minorEastAsia"/>
          <w:sz w:val="32"/>
          <w:szCs w:val="32"/>
        </w:rPr>
        <w:t>61.834.582</w:t>
      </w:r>
      <w:r w:rsidR="008B360F" w:rsidRPr="003F53D6">
        <w:rPr>
          <w:rFonts w:eastAsiaTheme="minorEastAsia"/>
          <w:sz w:val="32"/>
          <w:szCs w:val="32"/>
        </w:rPr>
        <w:t>€</w:t>
      </w:r>
    </w:p>
    <w:p w:rsidR="003C7C73" w:rsidRPr="00A41085" w:rsidRDefault="008B360F" w:rsidP="003C7C73">
      <w:pPr>
        <w:pStyle w:val="NoSpacing"/>
        <w:spacing w:after="240" w:line="360" w:lineRule="auto"/>
        <w:jc w:val="both"/>
        <w:rPr>
          <w:rFonts w:ascii="Times New Roman" w:eastAsiaTheme="minorEastAsia" w:hAnsi="Times New Roman" w:cs="Times New Roman"/>
          <w:sz w:val="24"/>
          <w:szCs w:val="24"/>
        </w:rPr>
      </w:pPr>
      <w:r w:rsidRPr="00A41085">
        <w:rPr>
          <w:rFonts w:ascii="Times New Roman" w:eastAsiaTheme="minorEastAsia" w:hAnsi="Times New Roman" w:cs="Times New Roman"/>
          <w:sz w:val="24"/>
          <w:szCs w:val="24"/>
        </w:rPr>
        <w:t>Vrednost lastniškega kapitala izračunana po dividendnem modelu se močno razlikuje od vrednosti lastniškega kapitala izračunanega po modelu diskontiranih denarnih tokov. Vrednost podjetja je tukaj podcenjena. Razlog za takšno odstopanje je, da podjetje ne nameni vsega prostega denarnega toka za izplačilo dividend.</w:t>
      </w:r>
    </w:p>
    <w:p w:rsidR="008B360F" w:rsidRPr="003C7C73" w:rsidRDefault="003C7C73" w:rsidP="00F14343">
      <w:pPr>
        <w:pStyle w:val="Heading2"/>
        <w:numPr>
          <w:ilvl w:val="1"/>
          <w:numId w:val="4"/>
        </w:numPr>
        <w:spacing w:before="0" w:after="120"/>
      </w:pPr>
      <w:bookmarkStart w:id="25" w:name="_Toc327382759"/>
      <w:r w:rsidRPr="005A1585">
        <w:t>ANALIZA OBČUTLJIVOSTI</w:t>
      </w:r>
      <w:r>
        <w:t xml:space="preserve"> ZA DIVIDENDNO DISKONTNI MODEL</w:t>
      </w:r>
      <w:bookmarkEnd w:id="25"/>
    </w:p>
    <w:p w:rsidR="008B360F" w:rsidRPr="004E69B5" w:rsidRDefault="004E69B5" w:rsidP="004E69B5">
      <w:pPr>
        <w:pStyle w:val="Caption"/>
        <w:keepNext/>
        <w:spacing w:after="120"/>
        <w:jc w:val="center"/>
        <w:rPr>
          <w:color w:val="auto"/>
          <w:sz w:val="20"/>
        </w:rPr>
      </w:pPr>
      <w:bookmarkStart w:id="26" w:name="_Toc327382771"/>
      <w:r w:rsidRPr="004E69B5">
        <w:rPr>
          <w:color w:val="auto"/>
          <w:sz w:val="20"/>
        </w:rPr>
        <w:t xml:space="preserve">Tabela </w:t>
      </w:r>
      <w:r w:rsidR="005A3C60" w:rsidRPr="004E69B5">
        <w:rPr>
          <w:color w:val="auto"/>
          <w:sz w:val="20"/>
        </w:rPr>
        <w:fldChar w:fldCharType="begin"/>
      </w:r>
      <w:r w:rsidRPr="004E69B5">
        <w:rPr>
          <w:color w:val="auto"/>
          <w:sz w:val="20"/>
        </w:rPr>
        <w:instrText xml:space="preserve"> SEQ Tabela \* ARABIC </w:instrText>
      </w:r>
      <w:r w:rsidR="005A3C60" w:rsidRPr="004E69B5">
        <w:rPr>
          <w:color w:val="auto"/>
          <w:sz w:val="20"/>
        </w:rPr>
        <w:fldChar w:fldCharType="separate"/>
      </w:r>
      <w:r w:rsidR="00664B27">
        <w:rPr>
          <w:noProof/>
          <w:color w:val="auto"/>
          <w:sz w:val="20"/>
        </w:rPr>
        <w:t>9</w:t>
      </w:r>
      <w:r w:rsidR="005A3C60" w:rsidRPr="004E69B5">
        <w:rPr>
          <w:color w:val="auto"/>
          <w:sz w:val="20"/>
        </w:rPr>
        <w:fldChar w:fldCharType="end"/>
      </w:r>
      <w:r w:rsidRPr="004E69B5">
        <w:rPr>
          <w:color w:val="auto"/>
          <w:sz w:val="20"/>
        </w:rPr>
        <w:t xml:space="preserve">: Analiza občutljivosti glede na dividendni model vrednotenja skupine Adria </w:t>
      </w:r>
      <w:proofErr w:type="spellStart"/>
      <w:r w:rsidRPr="004E69B5">
        <w:rPr>
          <w:color w:val="auto"/>
          <w:sz w:val="20"/>
        </w:rPr>
        <w:t>Mobil</w:t>
      </w:r>
      <w:proofErr w:type="spellEnd"/>
      <w:r w:rsidRPr="004E69B5">
        <w:rPr>
          <w:color w:val="auto"/>
          <w:sz w:val="20"/>
        </w:rPr>
        <w:t xml:space="preserve"> (v €)</w:t>
      </w:r>
      <w:bookmarkEnd w:id="26"/>
    </w:p>
    <w:tbl>
      <w:tblPr>
        <w:tblW w:w="10528" w:type="dxa"/>
        <w:jc w:val="center"/>
        <w:tblInd w:w="-722" w:type="dxa"/>
        <w:tblCellMar>
          <w:left w:w="70" w:type="dxa"/>
          <w:right w:w="70" w:type="dxa"/>
        </w:tblCellMar>
        <w:tblLook w:val="04A0" w:firstRow="1" w:lastRow="0" w:firstColumn="1" w:lastColumn="0" w:noHBand="0" w:noVBand="1"/>
      </w:tblPr>
      <w:tblGrid>
        <w:gridCol w:w="524"/>
        <w:gridCol w:w="804"/>
        <w:gridCol w:w="1306"/>
        <w:gridCol w:w="1357"/>
        <w:gridCol w:w="1306"/>
        <w:gridCol w:w="1363"/>
        <w:gridCol w:w="1306"/>
        <w:gridCol w:w="1256"/>
        <w:gridCol w:w="1306"/>
      </w:tblGrid>
      <w:tr w:rsidR="008B360F" w:rsidRPr="00181846" w:rsidTr="00E7690F">
        <w:trPr>
          <w:trHeight w:val="315"/>
          <w:jc w:val="center"/>
        </w:trPr>
        <w:tc>
          <w:tcPr>
            <w:tcW w:w="524" w:type="dxa"/>
            <w:tcBorders>
              <w:top w:val="nil"/>
              <w:left w:val="nil"/>
              <w:bottom w:val="nil"/>
              <w:right w:val="nil"/>
            </w:tcBorders>
            <w:shd w:val="clear" w:color="auto" w:fill="auto"/>
            <w:noWrap/>
            <w:vAlign w:val="bottom"/>
            <w:hideMark/>
          </w:tcPr>
          <w:p w:rsidR="008B360F" w:rsidRPr="00181846" w:rsidRDefault="008B360F" w:rsidP="00E7690F">
            <w:pPr>
              <w:spacing w:after="0" w:line="240" w:lineRule="auto"/>
              <w:rPr>
                <w:rFonts w:ascii="Calibri" w:eastAsia="Times New Roman" w:hAnsi="Calibri" w:cs="Times New Roman"/>
                <w:color w:val="000000"/>
                <w:lang w:eastAsia="sl-SI"/>
              </w:rPr>
            </w:pPr>
          </w:p>
        </w:tc>
        <w:tc>
          <w:tcPr>
            <w:tcW w:w="804" w:type="dxa"/>
            <w:tcBorders>
              <w:top w:val="nil"/>
              <w:left w:val="nil"/>
              <w:bottom w:val="nil"/>
              <w:right w:val="nil"/>
            </w:tcBorders>
            <w:shd w:val="clear" w:color="auto" w:fill="auto"/>
            <w:noWrap/>
            <w:vAlign w:val="bottom"/>
            <w:hideMark/>
          </w:tcPr>
          <w:p w:rsidR="008B360F" w:rsidRPr="00181846" w:rsidRDefault="008B360F" w:rsidP="00E7690F">
            <w:pPr>
              <w:spacing w:after="0" w:line="240" w:lineRule="auto"/>
              <w:rPr>
                <w:rFonts w:ascii="Calibri" w:eastAsia="Times New Roman" w:hAnsi="Calibri" w:cs="Times New Roman"/>
                <w:color w:val="000000"/>
                <w:lang w:eastAsia="sl-SI"/>
              </w:rPr>
            </w:pPr>
          </w:p>
        </w:tc>
        <w:tc>
          <w:tcPr>
            <w:tcW w:w="9200" w:type="dxa"/>
            <w:gridSpan w:val="7"/>
            <w:tcBorders>
              <w:top w:val="nil"/>
              <w:left w:val="nil"/>
              <w:bottom w:val="nil"/>
              <w:right w:val="nil"/>
            </w:tcBorders>
            <w:shd w:val="clear" w:color="auto" w:fill="auto"/>
            <w:noWrap/>
            <w:vAlign w:val="bottom"/>
            <w:hideMark/>
          </w:tcPr>
          <w:p w:rsidR="008B360F" w:rsidRPr="00181846" w:rsidRDefault="008B360F" w:rsidP="00E7690F">
            <w:pPr>
              <w:spacing w:after="0" w:line="240" w:lineRule="auto"/>
              <w:jc w:val="center"/>
              <w:rPr>
                <w:rFonts w:ascii="Calibri" w:eastAsia="Times New Roman" w:hAnsi="Calibri" w:cs="Times New Roman"/>
                <w:bCs/>
                <w:color w:val="000000"/>
                <w:sz w:val="24"/>
                <w:szCs w:val="24"/>
                <w:lang w:eastAsia="sl-SI"/>
              </w:rPr>
            </w:pPr>
            <w:r w:rsidRPr="00181846">
              <w:rPr>
                <w:rFonts w:ascii="Calibri" w:eastAsia="Times New Roman" w:hAnsi="Calibri" w:cs="Times New Roman"/>
                <w:bCs/>
                <w:color w:val="000000"/>
                <w:sz w:val="24"/>
                <w:szCs w:val="24"/>
                <w:lang w:eastAsia="sl-SI"/>
              </w:rPr>
              <w:t>Dolgoročna stopnja rasti</w:t>
            </w:r>
          </w:p>
        </w:tc>
      </w:tr>
      <w:tr w:rsidR="008B360F" w:rsidRPr="00181846" w:rsidTr="00E7690F">
        <w:trPr>
          <w:trHeight w:val="300"/>
          <w:jc w:val="center"/>
        </w:trPr>
        <w:tc>
          <w:tcPr>
            <w:tcW w:w="524" w:type="dxa"/>
            <w:vMerge w:val="restart"/>
            <w:tcBorders>
              <w:top w:val="nil"/>
              <w:left w:val="nil"/>
              <w:bottom w:val="nil"/>
              <w:right w:val="nil"/>
            </w:tcBorders>
            <w:shd w:val="clear" w:color="auto" w:fill="auto"/>
            <w:noWrap/>
            <w:vAlign w:val="center"/>
            <w:hideMark/>
          </w:tcPr>
          <w:p w:rsidR="008B360F" w:rsidRPr="00181846" w:rsidRDefault="008B360F" w:rsidP="00E7690F">
            <w:pPr>
              <w:spacing w:after="0" w:line="240" w:lineRule="auto"/>
              <w:jc w:val="center"/>
              <w:rPr>
                <w:rFonts w:ascii="Calibri" w:eastAsia="Times New Roman" w:hAnsi="Calibri" w:cs="Times New Roman"/>
                <w:bCs/>
                <w:color w:val="000000"/>
                <w:sz w:val="36"/>
                <w:szCs w:val="36"/>
                <w:lang w:eastAsia="sl-SI"/>
              </w:rPr>
            </w:pPr>
            <w:proofErr w:type="spellStart"/>
            <w:r w:rsidRPr="00181846">
              <w:rPr>
                <w:rFonts w:ascii="Calibri" w:eastAsia="Times New Roman" w:hAnsi="Calibri" w:cs="Times New Roman"/>
                <w:bCs/>
                <w:color w:val="000000"/>
                <w:sz w:val="36"/>
                <w:szCs w:val="36"/>
                <w:lang w:eastAsia="sl-SI"/>
              </w:rPr>
              <w:t>Re</w:t>
            </w:r>
            <w:proofErr w:type="spellEnd"/>
          </w:p>
        </w:tc>
        <w:tc>
          <w:tcPr>
            <w:tcW w:w="804" w:type="dxa"/>
            <w:tcBorders>
              <w:top w:val="nil"/>
              <w:left w:val="nil"/>
              <w:bottom w:val="single" w:sz="4" w:space="0" w:color="FFFFFF"/>
              <w:right w:val="single" w:sz="4" w:space="0" w:color="FFFFFF"/>
            </w:tcBorders>
            <w:shd w:val="clear" w:color="4F81BD" w:fill="4F81BD"/>
            <w:noWrap/>
            <w:vAlign w:val="bottom"/>
            <w:hideMark/>
          </w:tcPr>
          <w:p w:rsidR="008B360F" w:rsidRPr="00181846" w:rsidRDefault="008B360F" w:rsidP="00E7690F">
            <w:pPr>
              <w:spacing w:after="0" w:line="240" w:lineRule="auto"/>
              <w:rPr>
                <w:rFonts w:ascii="Calibri" w:eastAsia="Times New Roman" w:hAnsi="Calibri" w:cs="Times New Roman"/>
                <w:b/>
                <w:bCs/>
                <w:color w:val="FFFFFF"/>
                <w:sz w:val="20"/>
                <w:szCs w:val="20"/>
                <w:lang w:eastAsia="sl-SI"/>
              </w:rPr>
            </w:pPr>
          </w:p>
        </w:tc>
        <w:tc>
          <w:tcPr>
            <w:tcW w:w="1306" w:type="dxa"/>
            <w:tcBorders>
              <w:top w:val="nil"/>
              <w:left w:val="nil"/>
              <w:bottom w:val="single" w:sz="4" w:space="0" w:color="FFFFFF"/>
              <w:right w:val="single" w:sz="4" w:space="0" w:color="FFFFFF"/>
            </w:tcBorders>
            <w:shd w:val="clear" w:color="000000" w:fill="4F81BD"/>
            <w:noWrap/>
            <w:vAlign w:val="bottom"/>
            <w:hideMark/>
          </w:tcPr>
          <w:p w:rsidR="008B360F" w:rsidRPr="00181846" w:rsidRDefault="008B360F" w:rsidP="00E7690F">
            <w:pPr>
              <w:spacing w:after="0" w:line="240" w:lineRule="auto"/>
              <w:jc w:val="center"/>
              <w:rPr>
                <w:rFonts w:ascii="Calibri" w:eastAsia="Times New Roman" w:hAnsi="Calibri" w:cs="Times New Roman"/>
                <w:b/>
                <w:bCs/>
                <w:color w:val="FFFFFF"/>
                <w:lang w:eastAsia="sl-SI"/>
              </w:rPr>
            </w:pPr>
            <w:r w:rsidRPr="00181846">
              <w:rPr>
                <w:rFonts w:ascii="Calibri" w:eastAsia="Times New Roman" w:hAnsi="Calibri" w:cs="Times New Roman"/>
                <w:b/>
                <w:bCs/>
                <w:color w:val="FFFFFF"/>
                <w:lang w:eastAsia="sl-SI"/>
              </w:rPr>
              <w:t>2,10%</w:t>
            </w:r>
          </w:p>
        </w:tc>
        <w:tc>
          <w:tcPr>
            <w:tcW w:w="1357" w:type="dxa"/>
            <w:tcBorders>
              <w:top w:val="nil"/>
              <w:left w:val="nil"/>
              <w:bottom w:val="single" w:sz="4" w:space="0" w:color="FFFFFF"/>
              <w:right w:val="single" w:sz="4" w:space="0" w:color="FFFFFF"/>
            </w:tcBorders>
            <w:shd w:val="clear" w:color="000000" w:fill="4F81BD"/>
            <w:noWrap/>
            <w:vAlign w:val="bottom"/>
            <w:hideMark/>
          </w:tcPr>
          <w:p w:rsidR="008B360F" w:rsidRPr="00181846" w:rsidRDefault="008B360F" w:rsidP="00E7690F">
            <w:pPr>
              <w:spacing w:after="0" w:line="240" w:lineRule="auto"/>
              <w:jc w:val="center"/>
              <w:rPr>
                <w:rFonts w:ascii="Calibri" w:eastAsia="Times New Roman" w:hAnsi="Calibri" w:cs="Times New Roman"/>
                <w:b/>
                <w:bCs/>
                <w:color w:val="FFFFFF"/>
                <w:lang w:eastAsia="sl-SI"/>
              </w:rPr>
            </w:pPr>
            <w:r w:rsidRPr="00181846">
              <w:rPr>
                <w:rFonts w:ascii="Calibri" w:eastAsia="Times New Roman" w:hAnsi="Calibri" w:cs="Times New Roman"/>
                <w:b/>
                <w:bCs/>
                <w:color w:val="FFFFFF"/>
                <w:lang w:eastAsia="sl-SI"/>
              </w:rPr>
              <w:t>2,40%</w:t>
            </w:r>
          </w:p>
        </w:tc>
        <w:tc>
          <w:tcPr>
            <w:tcW w:w="1306" w:type="dxa"/>
            <w:tcBorders>
              <w:top w:val="nil"/>
              <w:left w:val="nil"/>
              <w:bottom w:val="single" w:sz="4" w:space="0" w:color="FFFFFF"/>
              <w:right w:val="single" w:sz="4" w:space="0" w:color="FFFFFF"/>
            </w:tcBorders>
            <w:shd w:val="clear" w:color="000000" w:fill="4F81BD"/>
            <w:noWrap/>
            <w:vAlign w:val="bottom"/>
            <w:hideMark/>
          </w:tcPr>
          <w:p w:rsidR="008B360F" w:rsidRPr="00181846" w:rsidRDefault="008B360F" w:rsidP="00E7690F">
            <w:pPr>
              <w:spacing w:after="0" w:line="240" w:lineRule="auto"/>
              <w:jc w:val="center"/>
              <w:rPr>
                <w:rFonts w:ascii="Calibri" w:eastAsia="Times New Roman" w:hAnsi="Calibri" w:cs="Times New Roman"/>
                <w:b/>
                <w:bCs/>
                <w:color w:val="FFFFFF"/>
                <w:lang w:eastAsia="sl-SI"/>
              </w:rPr>
            </w:pPr>
            <w:r w:rsidRPr="00181846">
              <w:rPr>
                <w:rFonts w:ascii="Calibri" w:eastAsia="Times New Roman" w:hAnsi="Calibri" w:cs="Times New Roman"/>
                <w:b/>
                <w:bCs/>
                <w:color w:val="FFFFFF"/>
                <w:lang w:eastAsia="sl-SI"/>
              </w:rPr>
              <w:t>2,70%</w:t>
            </w:r>
          </w:p>
        </w:tc>
        <w:tc>
          <w:tcPr>
            <w:tcW w:w="1363" w:type="dxa"/>
            <w:tcBorders>
              <w:top w:val="nil"/>
              <w:left w:val="nil"/>
              <w:bottom w:val="single" w:sz="4" w:space="0" w:color="FFFFFF"/>
              <w:right w:val="single" w:sz="4" w:space="0" w:color="FFFFFF"/>
            </w:tcBorders>
            <w:shd w:val="clear" w:color="000000" w:fill="4F81BD"/>
            <w:noWrap/>
            <w:vAlign w:val="bottom"/>
            <w:hideMark/>
          </w:tcPr>
          <w:p w:rsidR="008B360F" w:rsidRPr="00181846" w:rsidRDefault="008B360F" w:rsidP="00E7690F">
            <w:pPr>
              <w:spacing w:after="0" w:line="240" w:lineRule="auto"/>
              <w:jc w:val="center"/>
              <w:rPr>
                <w:rFonts w:ascii="Calibri" w:eastAsia="Times New Roman" w:hAnsi="Calibri" w:cs="Times New Roman"/>
                <w:b/>
                <w:bCs/>
                <w:color w:val="FFFFFF"/>
                <w:lang w:eastAsia="sl-SI"/>
              </w:rPr>
            </w:pPr>
            <w:r w:rsidRPr="00181846">
              <w:rPr>
                <w:rFonts w:ascii="Calibri" w:eastAsia="Times New Roman" w:hAnsi="Calibri" w:cs="Times New Roman"/>
                <w:b/>
                <w:bCs/>
                <w:color w:val="FFFFFF"/>
                <w:lang w:eastAsia="sl-SI"/>
              </w:rPr>
              <w:t>3,00%</w:t>
            </w:r>
          </w:p>
        </w:tc>
        <w:tc>
          <w:tcPr>
            <w:tcW w:w="1306" w:type="dxa"/>
            <w:tcBorders>
              <w:top w:val="nil"/>
              <w:left w:val="nil"/>
              <w:bottom w:val="single" w:sz="4" w:space="0" w:color="FFFFFF"/>
              <w:right w:val="single" w:sz="4" w:space="0" w:color="FFFFFF"/>
            </w:tcBorders>
            <w:shd w:val="clear" w:color="000000" w:fill="4F81BD"/>
            <w:noWrap/>
            <w:vAlign w:val="bottom"/>
            <w:hideMark/>
          </w:tcPr>
          <w:p w:rsidR="008B360F" w:rsidRPr="00181846" w:rsidRDefault="008B360F" w:rsidP="00E7690F">
            <w:pPr>
              <w:spacing w:after="0" w:line="240" w:lineRule="auto"/>
              <w:jc w:val="center"/>
              <w:rPr>
                <w:rFonts w:ascii="Calibri" w:eastAsia="Times New Roman" w:hAnsi="Calibri" w:cs="Times New Roman"/>
                <w:b/>
                <w:bCs/>
                <w:color w:val="FFFFFF"/>
                <w:lang w:eastAsia="sl-SI"/>
              </w:rPr>
            </w:pPr>
            <w:r w:rsidRPr="00181846">
              <w:rPr>
                <w:rFonts w:ascii="Calibri" w:eastAsia="Times New Roman" w:hAnsi="Calibri" w:cs="Times New Roman"/>
                <w:b/>
                <w:bCs/>
                <w:color w:val="FFFFFF"/>
                <w:lang w:eastAsia="sl-SI"/>
              </w:rPr>
              <w:t>3,30%</w:t>
            </w:r>
          </w:p>
        </w:tc>
        <w:tc>
          <w:tcPr>
            <w:tcW w:w="1256" w:type="dxa"/>
            <w:tcBorders>
              <w:top w:val="nil"/>
              <w:left w:val="nil"/>
              <w:bottom w:val="single" w:sz="4" w:space="0" w:color="FFFFFF"/>
              <w:right w:val="single" w:sz="4" w:space="0" w:color="FFFFFF"/>
            </w:tcBorders>
            <w:shd w:val="clear" w:color="000000" w:fill="4F81BD"/>
            <w:noWrap/>
            <w:vAlign w:val="bottom"/>
            <w:hideMark/>
          </w:tcPr>
          <w:p w:rsidR="008B360F" w:rsidRPr="00181846" w:rsidRDefault="008B360F" w:rsidP="00E7690F">
            <w:pPr>
              <w:spacing w:after="0" w:line="240" w:lineRule="auto"/>
              <w:jc w:val="center"/>
              <w:rPr>
                <w:rFonts w:ascii="Calibri" w:eastAsia="Times New Roman" w:hAnsi="Calibri" w:cs="Times New Roman"/>
                <w:b/>
                <w:bCs/>
                <w:color w:val="FFFFFF"/>
                <w:lang w:eastAsia="sl-SI"/>
              </w:rPr>
            </w:pPr>
            <w:r w:rsidRPr="00181846">
              <w:rPr>
                <w:rFonts w:ascii="Calibri" w:eastAsia="Times New Roman" w:hAnsi="Calibri" w:cs="Times New Roman"/>
                <w:b/>
                <w:bCs/>
                <w:color w:val="FFFFFF"/>
                <w:lang w:eastAsia="sl-SI"/>
              </w:rPr>
              <w:t>3,60%</w:t>
            </w:r>
          </w:p>
        </w:tc>
        <w:tc>
          <w:tcPr>
            <w:tcW w:w="1306" w:type="dxa"/>
            <w:tcBorders>
              <w:top w:val="nil"/>
              <w:left w:val="nil"/>
              <w:bottom w:val="single" w:sz="4" w:space="0" w:color="FFFFFF"/>
              <w:right w:val="nil"/>
            </w:tcBorders>
            <w:shd w:val="clear" w:color="000000" w:fill="4F81BD"/>
            <w:noWrap/>
            <w:vAlign w:val="bottom"/>
            <w:hideMark/>
          </w:tcPr>
          <w:p w:rsidR="008B360F" w:rsidRPr="00181846" w:rsidRDefault="008B360F" w:rsidP="00E7690F">
            <w:pPr>
              <w:spacing w:after="0" w:line="240" w:lineRule="auto"/>
              <w:jc w:val="center"/>
              <w:rPr>
                <w:rFonts w:ascii="Calibri" w:eastAsia="Times New Roman" w:hAnsi="Calibri" w:cs="Times New Roman"/>
                <w:b/>
                <w:bCs/>
                <w:color w:val="FFFFFF"/>
                <w:lang w:eastAsia="sl-SI"/>
              </w:rPr>
            </w:pPr>
            <w:r w:rsidRPr="00181846">
              <w:rPr>
                <w:rFonts w:ascii="Calibri" w:eastAsia="Times New Roman" w:hAnsi="Calibri" w:cs="Times New Roman"/>
                <w:b/>
                <w:bCs/>
                <w:color w:val="FFFFFF"/>
                <w:lang w:eastAsia="sl-SI"/>
              </w:rPr>
              <w:t>3,90%</w:t>
            </w:r>
          </w:p>
        </w:tc>
      </w:tr>
      <w:tr w:rsidR="008B360F" w:rsidRPr="00181846" w:rsidTr="00E7690F">
        <w:trPr>
          <w:trHeight w:val="300"/>
          <w:jc w:val="center"/>
        </w:trPr>
        <w:tc>
          <w:tcPr>
            <w:tcW w:w="524" w:type="dxa"/>
            <w:vMerge/>
            <w:tcBorders>
              <w:top w:val="nil"/>
              <w:left w:val="nil"/>
              <w:bottom w:val="nil"/>
              <w:right w:val="nil"/>
            </w:tcBorders>
            <w:vAlign w:val="center"/>
            <w:hideMark/>
          </w:tcPr>
          <w:p w:rsidR="008B360F" w:rsidRPr="00181846" w:rsidRDefault="008B360F" w:rsidP="00E7690F">
            <w:pPr>
              <w:spacing w:after="0" w:line="240" w:lineRule="auto"/>
              <w:rPr>
                <w:rFonts w:ascii="Calibri" w:eastAsia="Times New Roman" w:hAnsi="Calibri" w:cs="Times New Roman"/>
                <w:b/>
                <w:bCs/>
                <w:color w:val="000000"/>
                <w:sz w:val="36"/>
                <w:szCs w:val="36"/>
                <w:lang w:eastAsia="sl-SI"/>
              </w:rPr>
            </w:pPr>
          </w:p>
        </w:tc>
        <w:tc>
          <w:tcPr>
            <w:tcW w:w="804" w:type="dxa"/>
            <w:tcBorders>
              <w:top w:val="nil"/>
              <w:left w:val="nil"/>
              <w:bottom w:val="single" w:sz="4" w:space="0" w:color="FFFFFF"/>
              <w:right w:val="single" w:sz="4" w:space="0" w:color="FFFFFF"/>
            </w:tcBorders>
            <w:shd w:val="clear" w:color="4F81BD" w:fill="4F81BD"/>
            <w:noWrap/>
            <w:vAlign w:val="bottom"/>
            <w:hideMark/>
          </w:tcPr>
          <w:p w:rsidR="008B360F" w:rsidRPr="00181846" w:rsidRDefault="008B360F" w:rsidP="00E7690F">
            <w:pPr>
              <w:spacing w:after="0" w:line="240" w:lineRule="auto"/>
              <w:jc w:val="right"/>
              <w:rPr>
                <w:rFonts w:ascii="Calibri" w:eastAsia="Times New Roman" w:hAnsi="Calibri" w:cs="Times New Roman"/>
                <w:b/>
                <w:bCs/>
                <w:color w:val="FFFFFF"/>
                <w:lang w:eastAsia="sl-SI"/>
              </w:rPr>
            </w:pPr>
            <w:r w:rsidRPr="00181846">
              <w:rPr>
                <w:rFonts w:ascii="Calibri" w:eastAsia="Times New Roman" w:hAnsi="Calibri" w:cs="Times New Roman"/>
                <w:b/>
                <w:bCs/>
                <w:color w:val="FFFFFF"/>
                <w:lang w:eastAsia="sl-SI"/>
              </w:rPr>
              <w:t>9,84%</w:t>
            </w:r>
          </w:p>
        </w:tc>
        <w:tc>
          <w:tcPr>
            <w:tcW w:w="1306" w:type="dxa"/>
            <w:tcBorders>
              <w:top w:val="nil"/>
              <w:left w:val="nil"/>
              <w:bottom w:val="single" w:sz="4" w:space="0" w:color="FFFFFF"/>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66.045.773 € </w:t>
            </w:r>
          </w:p>
        </w:tc>
        <w:tc>
          <w:tcPr>
            <w:tcW w:w="1357" w:type="dxa"/>
            <w:tcBorders>
              <w:top w:val="nil"/>
              <w:left w:val="nil"/>
              <w:bottom w:val="single" w:sz="4" w:space="0" w:color="FFFFFF"/>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68.910.796 € </w:t>
            </w:r>
          </w:p>
        </w:tc>
        <w:tc>
          <w:tcPr>
            <w:tcW w:w="1306" w:type="dxa"/>
            <w:tcBorders>
              <w:top w:val="nil"/>
              <w:left w:val="nil"/>
              <w:bottom w:val="single" w:sz="4" w:space="0" w:color="FFFFFF"/>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72.016.577 € </w:t>
            </w:r>
          </w:p>
        </w:tc>
        <w:tc>
          <w:tcPr>
            <w:tcW w:w="1363" w:type="dxa"/>
            <w:tcBorders>
              <w:top w:val="nil"/>
              <w:left w:val="nil"/>
              <w:bottom w:val="single" w:sz="4" w:space="0" w:color="FFFFFF"/>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75.394.795 € </w:t>
            </w:r>
          </w:p>
        </w:tc>
        <w:tc>
          <w:tcPr>
            <w:tcW w:w="1306" w:type="dxa"/>
            <w:tcBorders>
              <w:top w:val="nil"/>
              <w:left w:val="nil"/>
              <w:bottom w:val="single" w:sz="4" w:space="0" w:color="FFFFFF"/>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79.082.942 € </w:t>
            </w:r>
          </w:p>
        </w:tc>
        <w:tc>
          <w:tcPr>
            <w:tcW w:w="1256" w:type="dxa"/>
            <w:tcBorders>
              <w:top w:val="nil"/>
              <w:left w:val="nil"/>
              <w:bottom w:val="single" w:sz="4" w:space="0" w:color="FFFFFF"/>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83.125.718 € </w:t>
            </w:r>
          </w:p>
        </w:tc>
        <w:tc>
          <w:tcPr>
            <w:tcW w:w="1306" w:type="dxa"/>
            <w:tcBorders>
              <w:top w:val="nil"/>
              <w:left w:val="nil"/>
              <w:bottom w:val="single" w:sz="4" w:space="0" w:color="FFFFFF"/>
              <w:right w:val="nil"/>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87.576.855 € </w:t>
            </w:r>
          </w:p>
        </w:tc>
      </w:tr>
      <w:tr w:rsidR="008B360F" w:rsidRPr="00181846" w:rsidTr="00E7690F">
        <w:trPr>
          <w:trHeight w:val="300"/>
          <w:jc w:val="center"/>
        </w:trPr>
        <w:tc>
          <w:tcPr>
            <w:tcW w:w="524" w:type="dxa"/>
            <w:vMerge/>
            <w:tcBorders>
              <w:top w:val="nil"/>
              <w:left w:val="nil"/>
              <w:bottom w:val="nil"/>
              <w:right w:val="nil"/>
            </w:tcBorders>
            <w:vAlign w:val="center"/>
            <w:hideMark/>
          </w:tcPr>
          <w:p w:rsidR="008B360F" w:rsidRPr="00181846" w:rsidRDefault="008B360F" w:rsidP="00E7690F">
            <w:pPr>
              <w:spacing w:after="0" w:line="240" w:lineRule="auto"/>
              <w:rPr>
                <w:rFonts w:ascii="Calibri" w:eastAsia="Times New Roman" w:hAnsi="Calibri" w:cs="Times New Roman"/>
                <w:b/>
                <w:bCs/>
                <w:color w:val="000000"/>
                <w:sz w:val="36"/>
                <w:szCs w:val="36"/>
                <w:lang w:eastAsia="sl-SI"/>
              </w:rPr>
            </w:pPr>
          </w:p>
        </w:tc>
        <w:tc>
          <w:tcPr>
            <w:tcW w:w="804" w:type="dxa"/>
            <w:tcBorders>
              <w:top w:val="nil"/>
              <w:left w:val="nil"/>
              <w:bottom w:val="single" w:sz="4" w:space="0" w:color="FFFFFF"/>
              <w:right w:val="single" w:sz="4" w:space="0" w:color="FFFFFF"/>
            </w:tcBorders>
            <w:shd w:val="clear" w:color="4F81BD" w:fill="4F81BD"/>
            <w:noWrap/>
            <w:vAlign w:val="bottom"/>
            <w:hideMark/>
          </w:tcPr>
          <w:p w:rsidR="008B360F" w:rsidRPr="00181846" w:rsidRDefault="008B360F" w:rsidP="00E7690F">
            <w:pPr>
              <w:spacing w:after="0" w:line="240" w:lineRule="auto"/>
              <w:jc w:val="right"/>
              <w:rPr>
                <w:rFonts w:ascii="Calibri" w:eastAsia="Times New Roman" w:hAnsi="Calibri" w:cs="Times New Roman"/>
                <w:b/>
                <w:bCs/>
                <w:color w:val="FFFFFF"/>
                <w:lang w:eastAsia="sl-SI"/>
              </w:rPr>
            </w:pPr>
            <w:r w:rsidRPr="00181846">
              <w:rPr>
                <w:rFonts w:ascii="Calibri" w:eastAsia="Times New Roman" w:hAnsi="Calibri" w:cs="Times New Roman"/>
                <w:b/>
                <w:bCs/>
                <w:color w:val="FFFFFF"/>
                <w:lang w:eastAsia="sl-SI"/>
              </w:rPr>
              <w:t>10,34%</w:t>
            </w:r>
          </w:p>
        </w:tc>
        <w:tc>
          <w:tcPr>
            <w:tcW w:w="1306" w:type="dxa"/>
            <w:tcBorders>
              <w:top w:val="nil"/>
              <w:left w:val="nil"/>
              <w:bottom w:val="single" w:sz="4" w:space="0" w:color="FFFFFF"/>
              <w:right w:val="single" w:sz="4" w:space="0" w:color="FFFFFF"/>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62.038.141 € </w:t>
            </w:r>
          </w:p>
        </w:tc>
        <w:tc>
          <w:tcPr>
            <w:tcW w:w="1357" w:type="dxa"/>
            <w:tcBorders>
              <w:top w:val="nil"/>
              <w:left w:val="nil"/>
              <w:bottom w:val="single" w:sz="4" w:space="0" w:color="FFFFFF"/>
              <w:right w:val="single" w:sz="4" w:space="0" w:color="FFFFFF"/>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64.571.325 € </w:t>
            </w:r>
          </w:p>
        </w:tc>
        <w:tc>
          <w:tcPr>
            <w:tcW w:w="1306" w:type="dxa"/>
            <w:tcBorders>
              <w:top w:val="nil"/>
              <w:left w:val="nil"/>
              <w:bottom w:val="single" w:sz="4" w:space="0" w:color="FFFFFF"/>
              <w:right w:val="single" w:sz="4" w:space="0" w:color="FFFFFF"/>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67.303.450 € </w:t>
            </w:r>
          </w:p>
        </w:tc>
        <w:tc>
          <w:tcPr>
            <w:tcW w:w="1363" w:type="dxa"/>
            <w:tcBorders>
              <w:top w:val="nil"/>
              <w:left w:val="nil"/>
              <w:bottom w:val="single" w:sz="4" w:space="0" w:color="FFFFFF"/>
              <w:right w:val="single" w:sz="4" w:space="0" w:color="FFFFFF"/>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70.258.910 € </w:t>
            </w:r>
          </w:p>
        </w:tc>
        <w:tc>
          <w:tcPr>
            <w:tcW w:w="1306" w:type="dxa"/>
            <w:tcBorders>
              <w:top w:val="nil"/>
              <w:left w:val="nil"/>
              <w:bottom w:val="single" w:sz="4" w:space="0" w:color="FFFFFF"/>
              <w:right w:val="single" w:sz="4" w:space="0" w:color="FFFFFF"/>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73.466.256 € </w:t>
            </w:r>
          </w:p>
        </w:tc>
        <w:tc>
          <w:tcPr>
            <w:tcW w:w="1256" w:type="dxa"/>
            <w:tcBorders>
              <w:top w:val="nil"/>
              <w:left w:val="nil"/>
              <w:bottom w:val="single" w:sz="4" w:space="0" w:color="FFFFFF"/>
              <w:right w:val="single" w:sz="4" w:space="0" w:color="FFFFFF"/>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76.959.122 € </w:t>
            </w:r>
          </w:p>
        </w:tc>
        <w:tc>
          <w:tcPr>
            <w:tcW w:w="1306" w:type="dxa"/>
            <w:tcBorders>
              <w:top w:val="nil"/>
              <w:left w:val="nil"/>
              <w:bottom w:val="single" w:sz="4" w:space="0" w:color="FFFFFF"/>
              <w:right w:val="nil"/>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80.777.410 € </w:t>
            </w:r>
          </w:p>
        </w:tc>
      </w:tr>
      <w:tr w:rsidR="008B360F" w:rsidRPr="00181846" w:rsidTr="00E7690F">
        <w:trPr>
          <w:trHeight w:val="300"/>
          <w:jc w:val="center"/>
        </w:trPr>
        <w:tc>
          <w:tcPr>
            <w:tcW w:w="524" w:type="dxa"/>
            <w:vMerge/>
            <w:tcBorders>
              <w:top w:val="nil"/>
              <w:left w:val="nil"/>
              <w:bottom w:val="nil"/>
              <w:right w:val="nil"/>
            </w:tcBorders>
            <w:vAlign w:val="center"/>
            <w:hideMark/>
          </w:tcPr>
          <w:p w:rsidR="008B360F" w:rsidRPr="00181846" w:rsidRDefault="008B360F" w:rsidP="00E7690F">
            <w:pPr>
              <w:spacing w:after="0" w:line="240" w:lineRule="auto"/>
              <w:rPr>
                <w:rFonts w:ascii="Calibri" w:eastAsia="Times New Roman" w:hAnsi="Calibri" w:cs="Times New Roman"/>
                <w:b/>
                <w:bCs/>
                <w:color w:val="000000"/>
                <w:sz w:val="36"/>
                <w:szCs w:val="36"/>
                <w:lang w:eastAsia="sl-SI"/>
              </w:rPr>
            </w:pPr>
          </w:p>
        </w:tc>
        <w:tc>
          <w:tcPr>
            <w:tcW w:w="804" w:type="dxa"/>
            <w:tcBorders>
              <w:top w:val="nil"/>
              <w:left w:val="nil"/>
              <w:bottom w:val="single" w:sz="4" w:space="0" w:color="FFFFFF"/>
              <w:right w:val="single" w:sz="4" w:space="0" w:color="FFFFFF"/>
            </w:tcBorders>
            <w:shd w:val="clear" w:color="4F81BD" w:fill="4F81BD"/>
            <w:noWrap/>
            <w:vAlign w:val="bottom"/>
            <w:hideMark/>
          </w:tcPr>
          <w:p w:rsidR="008B360F" w:rsidRPr="00181846" w:rsidRDefault="008B360F" w:rsidP="00E7690F">
            <w:pPr>
              <w:spacing w:after="0" w:line="240" w:lineRule="auto"/>
              <w:jc w:val="right"/>
              <w:rPr>
                <w:rFonts w:ascii="Calibri" w:eastAsia="Times New Roman" w:hAnsi="Calibri" w:cs="Times New Roman"/>
                <w:b/>
                <w:bCs/>
                <w:color w:val="FFFFFF"/>
                <w:lang w:eastAsia="sl-SI"/>
              </w:rPr>
            </w:pPr>
            <w:r w:rsidRPr="00181846">
              <w:rPr>
                <w:rFonts w:ascii="Calibri" w:eastAsia="Times New Roman" w:hAnsi="Calibri" w:cs="Times New Roman"/>
                <w:b/>
                <w:bCs/>
                <w:color w:val="FFFFFF"/>
                <w:lang w:eastAsia="sl-SI"/>
              </w:rPr>
              <w:t>10,84%</w:t>
            </w:r>
          </w:p>
        </w:tc>
        <w:tc>
          <w:tcPr>
            <w:tcW w:w="1306" w:type="dxa"/>
            <w:tcBorders>
              <w:top w:val="nil"/>
              <w:left w:val="nil"/>
              <w:bottom w:val="single" w:sz="4" w:space="0" w:color="FFFFFF"/>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58.489.048 € </w:t>
            </w:r>
          </w:p>
        </w:tc>
        <w:tc>
          <w:tcPr>
            <w:tcW w:w="1357" w:type="dxa"/>
            <w:tcBorders>
              <w:top w:val="nil"/>
              <w:left w:val="nil"/>
              <w:bottom w:val="single" w:sz="4" w:space="0" w:color="FFFFFF"/>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60.746.009 € </w:t>
            </w:r>
          </w:p>
        </w:tc>
        <w:tc>
          <w:tcPr>
            <w:tcW w:w="1306" w:type="dxa"/>
            <w:tcBorders>
              <w:top w:val="nil"/>
              <w:left w:val="nil"/>
              <w:bottom w:val="single" w:sz="4" w:space="0" w:color="FFFFFF"/>
              <w:right w:val="single" w:sz="4" w:space="0" w:color="FFFFFF"/>
            </w:tcBorders>
            <w:shd w:val="clear" w:color="000000" w:fill="F79646"/>
            <w:noWrap/>
            <w:vAlign w:val="bottom"/>
            <w:hideMark/>
          </w:tcPr>
          <w:p w:rsidR="008B360F" w:rsidRPr="00181846" w:rsidRDefault="008B360F" w:rsidP="00E7690F">
            <w:pPr>
              <w:spacing w:after="0" w:line="240" w:lineRule="auto"/>
              <w:jc w:val="center"/>
              <w:rPr>
                <w:rFonts w:ascii="Calibri" w:eastAsia="Times New Roman" w:hAnsi="Calibri" w:cs="Times New Roman"/>
                <w:sz w:val="20"/>
                <w:szCs w:val="20"/>
                <w:lang w:eastAsia="sl-SI"/>
              </w:rPr>
            </w:pPr>
            <w:r w:rsidRPr="00181846">
              <w:rPr>
                <w:rFonts w:ascii="Calibri" w:eastAsia="Times New Roman" w:hAnsi="Calibri" w:cs="Times New Roman"/>
                <w:sz w:val="20"/>
                <w:szCs w:val="20"/>
                <w:lang w:eastAsia="sl-SI"/>
              </w:rPr>
              <w:t xml:space="preserve">  63.169.332 € </w:t>
            </w:r>
          </w:p>
        </w:tc>
        <w:tc>
          <w:tcPr>
            <w:tcW w:w="1363" w:type="dxa"/>
            <w:tcBorders>
              <w:top w:val="nil"/>
              <w:left w:val="nil"/>
              <w:bottom w:val="single" w:sz="4" w:space="0" w:color="FFFFFF"/>
              <w:right w:val="single" w:sz="4" w:space="0" w:color="FFFFFF"/>
            </w:tcBorders>
            <w:shd w:val="clear" w:color="000000" w:fill="F79646"/>
            <w:noWrap/>
            <w:vAlign w:val="bottom"/>
            <w:hideMark/>
          </w:tcPr>
          <w:p w:rsidR="008B360F" w:rsidRPr="00181846" w:rsidRDefault="008B360F" w:rsidP="00E7690F">
            <w:pPr>
              <w:spacing w:after="0" w:line="240" w:lineRule="auto"/>
              <w:jc w:val="center"/>
              <w:rPr>
                <w:rFonts w:ascii="Calibri" w:eastAsia="Times New Roman" w:hAnsi="Calibri" w:cs="Times New Roman"/>
                <w:sz w:val="20"/>
                <w:szCs w:val="20"/>
                <w:lang w:eastAsia="sl-SI"/>
              </w:rPr>
            </w:pPr>
            <w:r w:rsidRPr="00181846">
              <w:rPr>
                <w:rFonts w:ascii="Calibri" w:eastAsia="Times New Roman" w:hAnsi="Calibri" w:cs="Times New Roman"/>
                <w:sz w:val="20"/>
                <w:szCs w:val="20"/>
                <w:lang w:eastAsia="sl-SI"/>
              </w:rPr>
              <w:t xml:space="preserve">   65.778.112 € </w:t>
            </w:r>
          </w:p>
        </w:tc>
        <w:tc>
          <w:tcPr>
            <w:tcW w:w="1306" w:type="dxa"/>
            <w:tcBorders>
              <w:top w:val="nil"/>
              <w:left w:val="nil"/>
              <w:bottom w:val="single" w:sz="4" w:space="0" w:color="FFFFFF"/>
              <w:right w:val="single" w:sz="4" w:space="0" w:color="FFFFFF"/>
            </w:tcBorders>
            <w:shd w:val="clear" w:color="000000" w:fill="F79646"/>
            <w:noWrap/>
            <w:vAlign w:val="bottom"/>
            <w:hideMark/>
          </w:tcPr>
          <w:p w:rsidR="008B360F" w:rsidRPr="00181846" w:rsidRDefault="008B360F" w:rsidP="00E7690F">
            <w:pPr>
              <w:spacing w:after="0" w:line="240" w:lineRule="auto"/>
              <w:jc w:val="center"/>
              <w:rPr>
                <w:rFonts w:ascii="Calibri" w:eastAsia="Times New Roman" w:hAnsi="Calibri" w:cs="Times New Roman"/>
                <w:sz w:val="20"/>
                <w:szCs w:val="20"/>
                <w:lang w:eastAsia="sl-SI"/>
              </w:rPr>
            </w:pPr>
            <w:r w:rsidRPr="00181846">
              <w:rPr>
                <w:rFonts w:ascii="Calibri" w:eastAsia="Times New Roman" w:hAnsi="Calibri" w:cs="Times New Roman"/>
                <w:sz w:val="20"/>
                <w:szCs w:val="20"/>
                <w:lang w:eastAsia="sl-SI"/>
              </w:rPr>
              <w:t xml:space="preserve">  68.594.488 € </w:t>
            </w:r>
          </w:p>
        </w:tc>
        <w:tc>
          <w:tcPr>
            <w:tcW w:w="1256" w:type="dxa"/>
            <w:tcBorders>
              <w:top w:val="nil"/>
              <w:left w:val="nil"/>
              <w:bottom w:val="single" w:sz="4" w:space="0" w:color="FFFFFF"/>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71.644.265 € </w:t>
            </w:r>
          </w:p>
        </w:tc>
        <w:tc>
          <w:tcPr>
            <w:tcW w:w="1306" w:type="dxa"/>
            <w:tcBorders>
              <w:top w:val="nil"/>
              <w:left w:val="nil"/>
              <w:bottom w:val="single" w:sz="4" w:space="0" w:color="FFFFFF"/>
              <w:right w:val="nil"/>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74.957.712 € </w:t>
            </w:r>
          </w:p>
        </w:tc>
      </w:tr>
      <w:tr w:rsidR="008B360F" w:rsidRPr="00181846" w:rsidTr="00E7690F">
        <w:trPr>
          <w:trHeight w:val="300"/>
          <w:jc w:val="center"/>
        </w:trPr>
        <w:tc>
          <w:tcPr>
            <w:tcW w:w="524" w:type="dxa"/>
            <w:vMerge/>
            <w:tcBorders>
              <w:top w:val="nil"/>
              <w:left w:val="nil"/>
              <w:bottom w:val="nil"/>
              <w:right w:val="nil"/>
            </w:tcBorders>
            <w:vAlign w:val="center"/>
            <w:hideMark/>
          </w:tcPr>
          <w:p w:rsidR="008B360F" w:rsidRPr="00181846" w:rsidRDefault="008B360F" w:rsidP="00E7690F">
            <w:pPr>
              <w:spacing w:after="0" w:line="240" w:lineRule="auto"/>
              <w:rPr>
                <w:rFonts w:ascii="Calibri" w:eastAsia="Times New Roman" w:hAnsi="Calibri" w:cs="Times New Roman"/>
                <w:b/>
                <w:bCs/>
                <w:color w:val="000000"/>
                <w:sz w:val="36"/>
                <w:szCs w:val="36"/>
                <w:lang w:eastAsia="sl-SI"/>
              </w:rPr>
            </w:pPr>
          </w:p>
        </w:tc>
        <w:tc>
          <w:tcPr>
            <w:tcW w:w="804" w:type="dxa"/>
            <w:tcBorders>
              <w:top w:val="nil"/>
              <w:left w:val="nil"/>
              <w:bottom w:val="single" w:sz="4" w:space="0" w:color="FFFFFF"/>
              <w:right w:val="single" w:sz="4" w:space="0" w:color="FFFFFF"/>
            </w:tcBorders>
            <w:shd w:val="clear" w:color="4F81BD" w:fill="4F81BD"/>
            <w:noWrap/>
            <w:vAlign w:val="bottom"/>
            <w:hideMark/>
          </w:tcPr>
          <w:p w:rsidR="008B360F" w:rsidRPr="00181846" w:rsidRDefault="008B360F" w:rsidP="00E7690F">
            <w:pPr>
              <w:spacing w:after="0" w:line="240" w:lineRule="auto"/>
              <w:jc w:val="right"/>
              <w:rPr>
                <w:rFonts w:ascii="Calibri" w:eastAsia="Times New Roman" w:hAnsi="Calibri" w:cs="Times New Roman"/>
                <w:b/>
                <w:bCs/>
                <w:color w:val="FFFFFF"/>
                <w:lang w:eastAsia="sl-SI"/>
              </w:rPr>
            </w:pPr>
            <w:r w:rsidRPr="00181846">
              <w:rPr>
                <w:rFonts w:ascii="Calibri" w:eastAsia="Times New Roman" w:hAnsi="Calibri" w:cs="Times New Roman"/>
                <w:b/>
                <w:bCs/>
                <w:color w:val="FFFFFF"/>
                <w:lang w:eastAsia="sl-SI"/>
              </w:rPr>
              <w:t>11,34%</w:t>
            </w:r>
          </w:p>
        </w:tc>
        <w:tc>
          <w:tcPr>
            <w:tcW w:w="1306" w:type="dxa"/>
            <w:tcBorders>
              <w:top w:val="nil"/>
              <w:left w:val="nil"/>
              <w:bottom w:val="single" w:sz="4" w:space="0" w:color="FFFFFF"/>
              <w:right w:val="single" w:sz="4" w:space="0" w:color="FFFFFF"/>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55.324.056 € </w:t>
            </w:r>
          </w:p>
        </w:tc>
        <w:tc>
          <w:tcPr>
            <w:tcW w:w="1357" w:type="dxa"/>
            <w:tcBorders>
              <w:top w:val="nil"/>
              <w:left w:val="nil"/>
              <w:bottom w:val="single" w:sz="4" w:space="0" w:color="FFFFFF"/>
              <w:right w:val="single" w:sz="4" w:space="0" w:color="FFFFFF"/>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57.348.582 € </w:t>
            </w:r>
          </w:p>
        </w:tc>
        <w:tc>
          <w:tcPr>
            <w:tcW w:w="1306" w:type="dxa"/>
            <w:tcBorders>
              <w:top w:val="nil"/>
              <w:left w:val="nil"/>
              <w:bottom w:val="single" w:sz="4" w:space="0" w:color="FFFFFF"/>
              <w:right w:val="single" w:sz="4" w:space="0" w:color="FFFFFF"/>
            </w:tcBorders>
            <w:shd w:val="clear" w:color="000000" w:fill="F79646"/>
            <w:noWrap/>
            <w:vAlign w:val="bottom"/>
            <w:hideMark/>
          </w:tcPr>
          <w:p w:rsidR="008B360F" w:rsidRPr="00181846" w:rsidRDefault="008B360F" w:rsidP="00E7690F">
            <w:pPr>
              <w:spacing w:after="0" w:line="240" w:lineRule="auto"/>
              <w:jc w:val="center"/>
              <w:rPr>
                <w:rFonts w:ascii="Calibri" w:eastAsia="Times New Roman" w:hAnsi="Calibri" w:cs="Times New Roman"/>
                <w:sz w:val="20"/>
                <w:szCs w:val="20"/>
                <w:lang w:eastAsia="sl-SI"/>
              </w:rPr>
            </w:pPr>
            <w:r w:rsidRPr="00181846">
              <w:rPr>
                <w:rFonts w:ascii="Calibri" w:eastAsia="Times New Roman" w:hAnsi="Calibri" w:cs="Times New Roman"/>
                <w:sz w:val="20"/>
                <w:szCs w:val="20"/>
                <w:lang w:eastAsia="sl-SI"/>
              </w:rPr>
              <w:t xml:space="preserve">  59.513.699 € </w:t>
            </w:r>
          </w:p>
        </w:tc>
        <w:tc>
          <w:tcPr>
            <w:tcW w:w="1363" w:type="dxa"/>
            <w:tcBorders>
              <w:top w:val="nil"/>
              <w:left w:val="nil"/>
              <w:bottom w:val="single" w:sz="4" w:space="0" w:color="FFFFFF"/>
              <w:right w:val="single" w:sz="4" w:space="0" w:color="FFFFFF"/>
            </w:tcBorders>
            <w:shd w:val="clear" w:color="000000" w:fill="F79646"/>
            <w:noWrap/>
            <w:vAlign w:val="bottom"/>
            <w:hideMark/>
          </w:tcPr>
          <w:p w:rsidR="008B360F" w:rsidRPr="00181846" w:rsidRDefault="008B360F" w:rsidP="00E7690F">
            <w:pPr>
              <w:spacing w:after="0" w:line="240" w:lineRule="auto"/>
              <w:jc w:val="center"/>
              <w:rPr>
                <w:rFonts w:ascii="Calibri" w:eastAsia="Times New Roman" w:hAnsi="Calibri" w:cs="Times New Roman"/>
                <w:b/>
                <w:bCs/>
                <w:sz w:val="20"/>
                <w:szCs w:val="20"/>
                <w:lang w:eastAsia="sl-SI"/>
              </w:rPr>
            </w:pPr>
            <w:r w:rsidRPr="00181846">
              <w:rPr>
                <w:rFonts w:ascii="Calibri" w:eastAsia="Times New Roman" w:hAnsi="Calibri" w:cs="Times New Roman"/>
                <w:b/>
                <w:bCs/>
                <w:sz w:val="20"/>
                <w:szCs w:val="20"/>
                <w:lang w:eastAsia="sl-SI"/>
              </w:rPr>
              <w:t xml:space="preserve">   61.834.580 € </w:t>
            </w:r>
          </w:p>
        </w:tc>
        <w:tc>
          <w:tcPr>
            <w:tcW w:w="1306" w:type="dxa"/>
            <w:tcBorders>
              <w:top w:val="nil"/>
              <w:left w:val="nil"/>
              <w:bottom w:val="single" w:sz="4" w:space="0" w:color="FFFFFF"/>
              <w:right w:val="single" w:sz="4" w:space="0" w:color="FFFFFF"/>
            </w:tcBorders>
            <w:shd w:val="clear" w:color="000000" w:fill="F79646"/>
            <w:noWrap/>
            <w:vAlign w:val="bottom"/>
            <w:hideMark/>
          </w:tcPr>
          <w:p w:rsidR="008B360F" w:rsidRPr="00181846" w:rsidRDefault="008B360F" w:rsidP="00E7690F">
            <w:pPr>
              <w:spacing w:after="0" w:line="240" w:lineRule="auto"/>
              <w:jc w:val="center"/>
              <w:rPr>
                <w:rFonts w:ascii="Calibri" w:eastAsia="Times New Roman" w:hAnsi="Calibri" w:cs="Times New Roman"/>
                <w:sz w:val="20"/>
                <w:szCs w:val="20"/>
                <w:lang w:eastAsia="sl-SI"/>
              </w:rPr>
            </w:pPr>
            <w:r w:rsidRPr="00181846">
              <w:rPr>
                <w:rFonts w:ascii="Calibri" w:eastAsia="Times New Roman" w:hAnsi="Calibri" w:cs="Times New Roman"/>
                <w:sz w:val="20"/>
                <w:szCs w:val="20"/>
                <w:lang w:eastAsia="sl-SI"/>
              </w:rPr>
              <w:t xml:space="preserve">  64.328.662 € </w:t>
            </w:r>
          </w:p>
        </w:tc>
        <w:tc>
          <w:tcPr>
            <w:tcW w:w="1256" w:type="dxa"/>
            <w:tcBorders>
              <w:top w:val="nil"/>
              <w:left w:val="nil"/>
              <w:bottom w:val="single" w:sz="4" w:space="0" w:color="FFFFFF"/>
              <w:right w:val="single" w:sz="4" w:space="0" w:color="FFFFFF"/>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67.016.083 € </w:t>
            </w:r>
          </w:p>
        </w:tc>
        <w:tc>
          <w:tcPr>
            <w:tcW w:w="1306" w:type="dxa"/>
            <w:tcBorders>
              <w:top w:val="nil"/>
              <w:left w:val="nil"/>
              <w:bottom w:val="single" w:sz="4" w:space="0" w:color="FFFFFF"/>
              <w:right w:val="nil"/>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69.920.231 € </w:t>
            </w:r>
          </w:p>
        </w:tc>
      </w:tr>
      <w:tr w:rsidR="008B360F" w:rsidRPr="00181846" w:rsidTr="00E7690F">
        <w:trPr>
          <w:trHeight w:val="300"/>
          <w:jc w:val="center"/>
        </w:trPr>
        <w:tc>
          <w:tcPr>
            <w:tcW w:w="524" w:type="dxa"/>
            <w:vMerge/>
            <w:tcBorders>
              <w:top w:val="nil"/>
              <w:left w:val="nil"/>
              <w:bottom w:val="nil"/>
              <w:right w:val="nil"/>
            </w:tcBorders>
            <w:vAlign w:val="center"/>
            <w:hideMark/>
          </w:tcPr>
          <w:p w:rsidR="008B360F" w:rsidRPr="00181846" w:rsidRDefault="008B360F" w:rsidP="00E7690F">
            <w:pPr>
              <w:spacing w:after="0" w:line="240" w:lineRule="auto"/>
              <w:rPr>
                <w:rFonts w:ascii="Calibri" w:eastAsia="Times New Roman" w:hAnsi="Calibri" w:cs="Times New Roman"/>
                <w:b/>
                <w:bCs/>
                <w:color w:val="000000"/>
                <w:sz w:val="36"/>
                <w:szCs w:val="36"/>
                <w:lang w:eastAsia="sl-SI"/>
              </w:rPr>
            </w:pPr>
          </w:p>
        </w:tc>
        <w:tc>
          <w:tcPr>
            <w:tcW w:w="804" w:type="dxa"/>
            <w:tcBorders>
              <w:top w:val="nil"/>
              <w:left w:val="nil"/>
              <w:bottom w:val="single" w:sz="4" w:space="0" w:color="FFFFFF"/>
              <w:right w:val="single" w:sz="4" w:space="0" w:color="FFFFFF"/>
            </w:tcBorders>
            <w:shd w:val="clear" w:color="4F81BD" w:fill="4F81BD"/>
            <w:noWrap/>
            <w:vAlign w:val="bottom"/>
            <w:hideMark/>
          </w:tcPr>
          <w:p w:rsidR="008B360F" w:rsidRPr="00181846" w:rsidRDefault="008B360F" w:rsidP="00E7690F">
            <w:pPr>
              <w:spacing w:after="0" w:line="240" w:lineRule="auto"/>
              <w:jc w:val="right"/>
              <w:rPr>
                <w:rFonts w:ascii="Calibri" w:eastAsia="Times New Roman" w:hAnsi="Calibri" w:cs="Times New Roman"/>
                <w:b/>
                <w:bCs/>
                <w:color w:val="FFFFFF"/>
                <w:lang w:eastAsia="sl-SI"/>
              </w:rPr>
            </w:pPr>
            <w:r w:rsidRPr="00181846">
              <w:rPr>
                <w:rFonts w:ascii="Calibri" w:eastAsia="Times New Roman" w:hAnsi="Calibri" w:cs="Times New Roman"/>
                <w:b/>
                <w:bCs/>
                <w:color w:val="FFFFFF"/>
                <w:lang w:eastAsia="sl-SI"/>
              </w:rPr>
              <w:t>11,84%</w:t>
            </w:r>
          </w:p>
        </w:tc>
        <w:tc>
          <w:tcPr>
            <w:tcW w:w="1306" w:type="dxa"/>
            <w:tcBorders>
              <w:top w:val="nil"/>
              <w:left w:val="nil"/>
              <w:bottom w:val="single" w:sz="4" w:space="0" w:color="FFFFFF"/>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52.484.012 € </w:t>
            </w:r>
          </w:p>
        </w:tc>
        <w:tc>
          <w:tcPr>
            <w:tcW w:w="1357" w:type="dxa"/>
            <w:tcBorders>
              <w:top w:val="nil"/>
              <w:left w:val="nil"/>
              <w:bottom w:val="single" w:sz="4" w:space="0" w:color="FFFFFF"/>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54.311.051 € </w:t>
            </w:r>
          </w:p>
        </w:tc>
        <w:tc>
          <w:tcPr>
            <w:tcW w:w="1306" w:type="dxa"/>
            <w:tcBorders>
              <w:top w:val="nil"/>
              <w:left w:val="nil"/>
              <w:bottom w:val="single" w:sz="4" w:space="0" w:color="FFFFFF"/>
              <w:right w:val="single" w:sz="4" w:space="0" w:color="FFFFFF"/>
            </w:tcBorders>
            <w:shd w:val="clear" w:color="000000" w:fill="F79646"/>
            <w:noWrap/>
            <w:vAlign w:val="bottom"/>
            <w:hideMark/>
          </w:tcPr>
          <w:p w:rsidR="008B360F" w:rsidRPr="00181846" w:rsidRDefault="008B360F" w:rsidP="00E7690F">
            <w:pPr>
              <w:spacing w:after="0" w:line="240" w:lineRule="auto"/>
              <w:jc w:val="center"/>
              <w:rPr>
                <w:rFonts w:ascii="Calibri" w:eastAsia="Times New Roman" w:hAnsi="Calibri" w:cs="Times New Roman"/>
                <w:sz w:val="20"/>
                <w:szCs w:val="20"/>
                <w:lang w:eastAsia="sl-SI"/>
              </w:rPr>
            </w:pPr>
            <w:r w:rsidRPr="00181846">
              <w:rPr>
                <w:rFonts w:ascii="Calibri" w:eastAsia="Times New Roman" w:hAnsi="Calibri" w:cs="Times New Roman"/>
                <w:sz w:val="20"/>
                <w:szCs w:val="20"/>
                <w:lang w:eastAsia="sl-SI"/>
              </w:rPr>
              <w:t xml:space="preserve">  56.258.026 € </w:t>
            </w:r>
          </w:p>
        </w:tc>
        <w:tc>
          <w:tcPr>
            <w:tcW w:w="1363" w:type="dxa"/>
            <w:tcBorders>
              <w:top w:val="nil"/>
              <w:left w:val="nil"/>
              <w:bottom w:val="single" w:sz="4" w:space="0" w:color="FFFFFF"/>
              <w:right w:val="single" w:sz="4" w:space="0" w:color="FFFFFF"/>
            </w:tcBorders>
            <w:shd w:val="clear" w:color="000000" w:fill="F79646"/>
            <w:noWrap/>
            <w:vAlign w:val="bottom"/>
            <w:hideMark/>
          </w:tcPr>
          <w:p w:rsidR="008B360F" w:rsidRPr="00181846" w:rsidRDefault="008B360F" w:rsidP="00E7690F">
            <w:pPr>
              <w:spacing w:after="0" w:line="240" w:lineRule="auto"/>
              <w:jc w:val="center"/>
              <w:rPr>
                <w:rFonts w:ascii="Calibri" w:eastAsia="Times New Roman" w:hAnsi="Calibri" w:cs="Times New Roman"/>
                <w:sz w:val="20"/>
                <w:szCs w:val="20"/>
                <w:lang w:eastAsia="sl-SI"/>
              </w:rPr>
            </w:pPr>
            <w:r w:rsidRPr="00181846">
              <w:rPr>
                <w:rFonts w:ascii="Calibri" w:eastAsia="Times New Roman" w:hAnsi="Calibri" w:cs="Times New Roman"/>
                <w:sz w:val="20"/>
                <w:szCs w:val="20"/>
                <w:lang w:eastAsia="sl-SI"/>
              </w:rPr>
              <w:t xml:space="preserve">   58.337.149 € </w:t>
            </w:r>
          </w:p>
        </w:tc>
        <w:tc>
          <w:tcPr>
            <w:tcW w:w="1306" w:type="dxa"/>
            <w:tcBorders>
              <w:top w:val="nil"/>
              <w:left w:val="nil"/>
              <w:bottom w:val="single" w:sz="4" w:space="0" w:color="FFFFFF"/>
              <w:right w:val="single" w:sz="4" w:space="0" w:color="FFFFFF"/>
            </w:tcBorders>
            <w:shd w:val="clear" w:color="000000" w:fill="F79646"/>
            <w:noWrap/>
            <w:vAlign w:val="bottom"/>
            <w:hideMark/>
          </w:tcPr>
          <w:p w:rsidR="008B360F" w:rsidRPr="00181846" w:rsidRDefault="008B360F" w:rsidP="00E7690F">
            <w:pPr>
              <w:spacing w:after="0" w:line="240" w:lineRule="auto"/>
              <w:jc w:val="center"/>
              <w:rPr>
                <w:rFonts w:ascii="Calibri" w:eastAsia="Times New Roman" w:hAnsi="Calibri" w:cs="Times New Roman"/>
                <w:sz w:val="20"/>
                <w:szCs w:val="20"/>
                <w:lang w:eastAsia="sl-SI"/>
              </w:rPr>
            </w:pPr>
            <w:r w:rsidRPr="00181846">
              <w:rPr>
                <w:rFonts w:ascii="Calibri" w:eastAsia="Times New Roman" w:hAnsi="Calibri" w:cs="Times New Roman"/>
                <w:sz w:val="20"/>
                <w:szCs w:val="20"/>
                <w:lang w:eastAsia="sl-SI"/>
              </w:rPr>
              <w:t xml:space="preserve">  60.562.347 € </w:t>
            </w:r>
          </w:p>
        </w:tc>
        <w:tc>
          <w:tcPr>
            <w:tcW w:w="1256" w:type="dxa"/>
            <w:tcBorders>
              <w:top w:val="nil"/>
              <w:left w:val="nil"/>
              <w:bottom w:val="single" w:sz="4" w:space="0" w:color="FFFFFF"/>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62.949.573 € </w:t>
            </w:r>
          </w:p>
        </w:tc>
        <w:tc>
          <w:tcPr>
            <w:tcW w:w="1306" w:type="dxa"/>
            <w:tcBorders>
              <w:top w:val="nil"/>
              <w:left w:val="nil"/>
              <w:bottom w:val="single" w:sz="4" w:space="0" w:color="FFFFFF"/>
              <w:right w:val="nil"/>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65.517.194 € </w:t>
            </w:r>
          </w:p>
        </w:tc>
      </w:tr>
      <w:tr w:rsidR="008B360F" w:rsidRPr="00181846" w:rsidTr="00E7690F">
        <w:trPr>
          <w:trHeight w:val="300"/>
          <w:jc w:val="center"/>
        </w:trPr>
        <w:tc>
          <w:tcPr>
            <w:tcW w:w="524" w:type="dxa"/>
            <w:vMerge/>
            <w:tcBorders>
              <w:top w:val="nil"/>
              <w:left w:val="nil"/>
              <w:bottom w:val="nil"/>
              <w:right w:val="nil"/>
            </w:tcBorders>
            <w:vAlign w:val="center"/>
            <w:hideMark/>
          </w:tcPr>
          <w:p w:rsidR="008B360F" w:rsidRPr="00181846" w:rsidRDefault="008B360F" w:rsidP="00E7690F">
            <w:pPr>
              <w:spacing w:after="0" w:line="240" w:lineRule="auto"/>
              <w:rPr>
                <w:rFonts w:ascii="Calibri" w:eastAsia="Times New Roman" w:hAnsi="Calibri" w:cs="Times New Roman"/>
                <w:b/>
                <w:bCs/>
                <w:color w:val="000000"/>
                <w:sz w:val="36"/>
                <w:szCs w:val="36"/>
                <w:lang w:eastAsia="sl-SI"/>
              </w:rPr>
            </w:pPr>
          </w:p>
        </w:tc>
        <w:tc>
          <w:tcPr>
            <w:tcW w:w="804" w:type="dxa"/>
            <w:tcBorders>
              <w:top w:val="nil"/>
              <w:left w:val="nil"/>
              <w:bottom w:val="single" w:sz="4" w:space="0" w:color="FFFFFF"/>
              <w:right w:val="single" w:sz="4" w:space="0" w:color="FFFFFF"/>
            </w:tcBorders>
            <w:shd w:val="clear" w:color="4F81BD" w:fill="4F81BD"/>
            <w:noWrap/>
            <w:vAlign w:val="bottom"/>
            <w:hideMark/>
          </w:tcPr>
          <w:p w:rsidR="008B360F" w:rsidRPr="00181846" w:rsidRDefault="008B360F" w:rsidP="00E7690F">
            <w:pPr>
              <w:spacing w:after="0" w:line="240" w:lineRule="auto"/>
              <w:jc w:val="right"/>
              <w:rPr>
                <w:rFonts w:ascii="Calibri" w:eastAsia="Times New Roman" w:hAnsi="Calibri" w:cs="Times New Roman"/>
                <w:b/>
                <w:bCs/>
                <w:color w:val="FFFFFF"/>
                <w:lang w:eastAsia="sl-SI"/>
              </w:rPr>
            </w:pPr>
            <w:r w:rsidRPr="00181846">
              <w:rPr>
                <w:rFonts w:ascii="Calibri" w:eastAsia="Times New Roman" w:hAnsi="Calibri" w:cs="Times New Roman"/>
                <w:b/>
                <w:bCs/>
                <w:color w:val="FFFFFF"/>
                <w:lang w:eastAsia="sl-SI"/>
              </w:rPr>
              <w:t>12,34%</w:t>
            </w:r>
          </w:p>
        </w:tc>
        <w:tc>
          <w:tcPr>
            <w:tcW w:w="1306" w:type="dxa"/>
            <w:tcBorders>
              <w:top w:val="nil"/>
              <w:left w:val="nil"/>
              <w:bottom w:val="single" w:sz="4" w:space="0" w:color="FFFFFF"/>
              <w:right w:val="single" w:sz="4" w:space="0" w:color="FFFFFF"/>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49.921.316 € </w:t>
            </w:r>
          </w:p>
        </w:tc>
        <w:tc>
          <w:tcPr>
            <w:tcW w:w="1357" w:type="dxa"/>
            <w:tcBorders>
              <w:top w:val="nil"/>
              <w:left w:val="nil"/>
              <w:bottom w:val="single" w:sz="4" w:space="0" w:color="FFFFFF"/>
              <w:right w:val="single" w:sz="4" w:space="0" w:color="FFFFFF"/>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51.579.107 € </w:t>
            </w:r>
          </w:p>
        </w:tc>
        <w:tc>
          <w:tcPr>
            <w:tcW w:w="1306" w:type="dxa"/>
            <w:tcBorders>
              <w:top w:val="nil"/>
              <w:left w:val="nil"/>
              <w:bottom w:val="single" w:sz="4" w:space="0" w:color="FFFFFF"/>
              <w:right w:val="single" w:sz="4" w:space="0" w:color="FFFFFF"/>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53.340.079 € </w:t>
            </w:r>
          </w:p>
        </w:tc>
        <w:tc>
          <w:tcPr>
            <w:tcW w:w="1363" w:type="dxa"/>
            <w:tcBorders>
              <w:top w:val="nil"/>
              <w:left w:val="nil"/>
              <w:bottom w:val="single" w:sz="4" w:space="0" w:color="FFFFFF"/>
              <w:right w:val="single" w:sz="4" w:space="0" w:color="FFFFFF"/>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55.214.176 € </w:t>
            </w:r>
          </w:p>
        </w:tc>
        <w:tc>
          <w:tcPr>
            <w:tcW w:w="1306" w:type="dxa"/>
            <w:tcBorders>
              <w:top w:val="nil"/>
              <w:left w:val="nil"/>
              <w:bottom w:val="single" w:sz="4" w:space="0" w:color="FFFFFF"/>
              <w:right w:val="single" w:sz="4" w:space="0" w:color="FFFFFF"/>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57.212.659 € </w:t>
            </w:r>
          </w:p>
        </w:tc>
        <w:tc>
          <w:tcPr>
            <w:tcW w:w="1256" w:type="dxa"/>
            <w:tcBorders>
              <w:top w:val="nil"/>
              <w:left w:val="nil"/>
              <w:bottom w:val="single" w:sz="4" w:space="0" w:color="FFFFFF"/>
              <w:right w:val="single" w:sz="4" w:space="0" w:color="FFFFFF"/>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59.348.339 € </w:t>
            </w:r>
          </w:p>
        </w:tc>
        <w:tc>
          <w:tcPr>
            <w:tcW w:w="1306" w:type="dxa"/>
            <w:tcBorders>
              <w:top w:val="nil"/>
              <w:left w:val="nil"/>
              <w:bottom w:val="single" w:sz="4" w:space="0" w:color="FFFFFF"/>
              <w:right w:val="nil"/>
            </w:tcBorders>
            <w:shd w:val="clear" w:color="B8CCE4" w:fill="B8CCE4"/>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61.635.844 € </w:t>
            </w:r>
          </w:p>
        </w:tc>
      </w:tr>
      <w:tr w:rsidR="008B360F" w:rsidRPr="00181846" w:rsidTr="00E7690F">
        <w:trPr>
          <w:trHeight w:val="300"/>
          <w:jc w:val="center"/>
        </w:trPr>
        <w:tc>
          <w:tcPr>
            <w:tcW w:w="524" w:type="dxa"/>
            <w:tcBorders>
              <w:top w:val="nil"/>
              <w:left w:val="nil"/>
              <w:bottom w:val="nil"/>
              <w:right w:val="nil"/>
            </w:tcBorders>
            <w:shd w:val="clear" w:color="auto" w:fill="auto"/>
            <w:noWrap/>
            <w:vAlign w:val="bottom"/>
            <w:hideMark/>
          </w:tcPr>
          <w:p w:rsidR="008B360F" w:rsidRPr="00181846" w:rsidRDefault="008B360F" w:rsidP="00E7690F">
            <w:pPr>
              <w:spacing w:after="0" w:line="240" w:lineRule="auto"/>
              <w:rPr>
                <w:rFonts w:ascii="Calibri" w:eastAsia="Times New Roman" w:hAnsi="Calibri" w:cs="Times New Roman"/>
                <w:color w:val="000000"/>
                <w:lang w:eastAsia="sl-SI"/>
              </w:rPr>
            </w:pPr>
          </w:p>
        </w:tc>
        <w:tc>
          <w:tcPr>
            <w:tcW w:w="804" w:type="dxa"/>
            <w:tcBorders>
              <w:top w:val="nil"/>
              <w:left w:val="nil"/>
              <w:bottom w:val="nil"/>
              <w:right w:val="single" w:sz="4" w:space="0" w:color="FFFFFF"/>
            </w:tcBorders>
            <w:shd w:val="clear" w:color="4F81BD" w:fill="4F81BD"/>
            <w:noWrap/>
            <w:vAlign w:val="bottom"/>
            <w:hideMark/>
          </w:tcPr>
          <w:p w:rsidR="008B360F" w:rsidRPr="00181846" w:rsidRDefault="008B360F" w:rsidP="00E7690F">
            <w:pPr>
              <w:spacing w:after="0" w:line="240" w:lineRule="auto"/>
              <w:jc w:val="right"/>
              <w:rPr>
                <w:rFonts w:ascii="Calibri" w:eastAsia="Times New Roman" w:hAnsi="Calibri" w:cs="Times New Roman"/>
                <w:b/>
                <w:bCs/>
                <w:color w:val="FFFFFF"/>
                <w:lang w:eastAsia="sl-SI"/>
              </w:rPr>
            </w:pPr>
            <w:r w:rsidRPr="00181846">
              <w:rPr>
                <w:rFonts w:ascii="Calibri" w:eastAsia="Times New Roman" w:hAnsi="Calibri" w:cs="Times New Roman"/>
                <w:b/>
                <w:bCs/>
                <w:color w:val="FFFFFF"/>
                <w:lang w:eastAsia="sl-SI"/>
              </w:rPr>
              <w:t>12,84%</w:t>
            </w:r>
          </w:p>
        </w:tc>
        <w:tc>
          <w:tcPr>
            <w:tcW w:w="1306" w:type="dxa"/>
            <w:tcBorders>
              <w:top w:val="nil"/>
              <w:left w:val="nil"/>
              <w:bottom w:val="nil"/>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47.597.233 € </w:t>
            </w:r>
          </w:p>
        </w:tc>
        <w:tc>
          <w:tcPr>
            <w:tcW w:w="1357" w:type="dxa"/>
            <w:tcBorders>
              <w:top w:val="nil"/>
              <w:left w:val="nil"/>
              <w:bottom w:val="nil"/>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49.108.843 € </w:t>
            </w:r>
          </w:p>
        </w:tc>
        <w:tc>
          <w:tcPr>
            <w:tcW w:w="1306" w:type="dxa"/>
            <w:tcBorders>
              <w:top w:val="nil"/>
              <w:left w:val="nil"/>
              <w:bottom w:val="nil"/>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50.709.897 € </w:t>
            </w:r>
          </w:p>
        </w:tc>
        <w:tc>
          <w:tcPr>
            <w:tcW w:w="1363" w:type="dxa"/>
            <w:tcBorders>
              <w:top w:val="nil"/>
              <w:left w:val="nil"/>
              <w:bottom w:val="nil"/>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52.408.577 € </w:t>
            </w:r>
          </w:p>
        </w:tc>
        <w:tc>
          <w:tcPr>
            <w:tcW w:w="1306" w:type="dxa"/>
            <w:tcBorders>
              <w:top w:val="nil"/>
              <w:left w:val="nil"/>
              <w:bottom w:val="nil"/>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54.214.092 € </w:t>
            </w:r>
          </w:p>
        </w:tc>
        <w:tc>
          <w:tcPr>
            <w:tcW w:w="1256" w:type="dxa"/>
            <w:tcBorders>
              <w:top w:val="nil"/>
              <w:left w:val="nil"/>
              <w:bottom w:val="nil"/>
              <w:right w:val="single" w:sz="4" w:space="0" w:color="FFFFFF"/>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56.136.848 € </w:t>
            </w:r>
          </w:p>
        </w:tc>
        <w:tc>
          <w:tcPr>
            <w:tcW w:w="1306" w:type="dxa"/>
            <w:tcBorders>
              <w:top w:val="nil"/>
              <w:left w:val="nil"/>
              <w:bottom w:val="nil"/>
              <w:right w:val="nil"/>
            </w:tcBorders>
            <w:shd w:val="clear" w:color="DBE5F1" w:fill="DBE5F1"/>
            <w:noWrap/>
            <w:vAlign w:val="bottom"/>
            <w:hideMark/>
          </w:tcPr>
          <w:p w:rsidR="008B360F" w:rsidRPr="00181846" w:rsidRDefault="008B360F" w:rsidP="00E7690F">
            <w:pPr>
              <w:spacing w:after="0" w:line="240" w:lineRule="auto"/>
              <w:jc w:val="center"/>
              <w:rPr>
                <w:rFonts w:ascii="Calibri" w:eastAsia="Times New Roman" w:hAnsi="Calibri" w:cs="Times New Roman"/>
                <w:color w:val="000000"/>
                <w:sz w:val="20"/>
                <w:szCs w:val="20"/>
                <w:lang w:eastAsia="sl-SI"/>
              </w:rPr>
            </w:pPr>
            <w:r w:rsidRPr="00181846">
              <w:rPr>
                <w:rFonts w:ascii="Calibri" w:eastAsia="Times New Roman" w:hAnsi="Calibri" w:cs="Times New Roman"/>
                <w:color w:val="000000"/>
                <w:sz w:val="20"/>
                <w:szCs w:val="20"/>
                <w:lang w:eastAsia="sl-SI"/>
              </w:rPr>
              <w:t xml:space="preserve">  58.188.649 € </w:t>
            </w:r>
          </w:p>
        </w:tc>
      </w:tr>
    </w:tbl>
    <w:p w:rsidR="008B360F" w:rsidRDefault="008B360F" w:rsidP="008B360F">
      <w:pPr>
        <w:pStyle w:val="NoSpacing"/>
        <w:spacing w:line="360" w:lineRule="auto"/>
        <w:rPr>
          <w:rFonts w:eastAsiaTheme="minorEastAsia"/>
        </w:rPr>
      </w:pPr>
    </w:p>
    <w:p w:rsidR="008B360F" w:rsidRPr="00A41085" w:rsidRDefault="008B360F" w:rsidP="008B360F">
      <w:pPr>
        <w:spacing w:line="360" w:lineRule="auto"/>
        <w:jc w:val="both"/>
        <w:rPr>
          <w:rFonts w:ascii="Times New Roman" w:hAnsi="Times New Roman" w:cs="Times New Roman"/>
          <w:sz w:val="24"/>
          <w:szCs w:val="24"/>
        </w:rPr>
      </w:pPr>
      <w:r w:rsidRPr="00A41085">
        <w:rPr>
          <w:rFonts w:ascii="Times New Roman" w:hAnsi="Times New Roman" w:cs="Times New Roman"/>
          <w:sz w:val="24"/>
          <w:szCs w:val="24"/>
        </w:rPr>
        <w:t xml:space="preserve">Pri analizi občutljivosti vidimo, kako bi se spreminjale vrednosti lastniškega kapitala glede na spremembe dolgoročne stopnje rasti ali spremembe zahtevane stopnje donosa na lastniški kapital ali oboje hkrati. Spremembe dolgoročne stopnje rasti smo opisali že pri analizi občutljivosti glede na metodo diskontiranih denarnih tokov. </w:t>
      </w:r>
    </w:p>
    <w:p w:rsidR="008B360F" w:rsidRDefault="008B360F" w:rsidP="008B360F">
      <w:pPr>
        <w:spacing w:line="360" w:lineRule="auto"/>
        <w:jc w:val="both"/>
        <w:rPr>
          <w:rFonts w:ascii="Times New Roman" w:hAnsi="Times New Roman" w:cs="Times New Roman"/>
          <w:sz w:val="24"/>
          <w:szCs w:val="24"/>
        </w:rPr>
      </w:pPr>
      <w:r w:rsidRPr="00A41085">
        <w:rPr>
          <w:rFonts w:ascii="Times New Roman" w:hAnsi="Times New Roman" w:cs="Times New Roman"/>
          <w:sz w:val="24"/>
          <w:szCs w:val="24"/>
        </w:rPr>
        <w:t xml:space="preserve">Na možne spremembe zahtevane stopnje donosa na lastniški kapital pa vplivajo predvsem spremenjena tržna premija za tveganje za Slovenijo, potem deželno tveganje za Slovenijo in seveda stopnja sistematičnega tveganja beta. Vse to smo že bolj podrobno razložili pri analizi občutljivosti za metodo diskontiranih denarnih tokov. </w:t>
      </w:r>
    </w:p>
    <w:p w:rsidR="00FA59EB" w:rsidRDefault="00FA59EB" w:rsidP="00181770">
      <w:pPr>
        <w:pStyle w:val="Heading1"/>
        <w:numPr>
          <w:ilvl w:val="0"/>
          <w:numId w:val="4"/>
        </w:numPr>
        <w:spacing w:before="0" w:after="120"/>
      </w:pPr>
      <w:bookmarkStart w:id="27" w:name="_Toc327382760"/>
      <w:r>
        <w:t>ANALIZA VREDNOSTI PODJETJA NA PODLAGI PRIMERLJIVIH KAZALNIKOV</w:t>
      </w:r>
      <w:r w:rsidR="00181770">
        <w:t xml:space="preserve"> - MULTIPLIKATORJI</w:t>
      </w:r>
      <w:bookmarkEnd w:id="27"/>
    </w:p>
    <w:p w:rsidR="00FA59EB" w:rsidRPr="00664B27" w:rsidRDefault="00FA59EB" w:rsidP="00FA59EB">
      <w:pPr>
        <w:spacing w:line="360" w:lineRule="auto"/>
        <w:jc w:val="both"/>
        <w:rPr>
          <w:rFonts w:ascii="Times New Roman" w:hAnsi="Times New Roman" w:cs="Times New Roman"/>
          <w:sz w:val="24"/>
        </w:rPr>
      </w:pPr>
      <w:r w:rsidRPr="00664B27">
        <w:rPr>
          <w:rFonts w:ascii="Times New Roman" w:hAnsi="Times New Roman" w:cs="Times New Roman"/>
          <w:sz w:val="24"/>
        </w:rPr>
        <w:t xml:space="preserve">To analizo vrednosti podjetja se izdeluje na podlagi </w:t>
      </w:r>
      <w:proofErr w:type="spellStart"/>
      <w:r w:rsidRPr="00664B27">
        <w:rPr>
          <w:rFonts w:ascii="Times New Roman" w:hAnsi="Times New Roman" w:cs="Times New Roman"/>
          <w:sz w:val="24"/>
        </w:rPr>
        <w:t>multiplikatorjev</w:t>
      </w:r>
      <w:proofErr w:type="spellEnd"/>
      <w:r w:rsidRPr="00664B27">
        <w:rPr>
          <w:rFonts w:ascii="Times New Roman" w:hAnsi="Times New Roman" w:cs="Times New Roman"/>
          <w:sz w:val="24"/>
        </w:rPr>
        <w:t xml:space="preserve"> oz. kazalnikov primerljivih podjetij. Glede na to, da so na bazi </w:t>
      </w:r>
      <w:proofErr w:type="spellStart"/>
      <w:r w:rsidRPr="00664B27">
        <w:rPr>
          <w:rFonts w:ascii="Times New Roman" w:hAnsi="Times New Roman" w:cs="Times New Roman"/>
          <w:sz w:val="24"/>
        </w:rPr>
        <w:t>Demodoran</w:t>
      </w:r>
      <w:proofErr w:type="spellEnd"/>
      <w:r w:rsidRPr="00664B27">
        <w:rPr>
          <w:rFonts w:ascii="Times New Roman" w:hAnsi="Times New Roman" w:cs="Times New Roman"/>
          <w:sz w:val="24"/>
        </w:rPr>
        <w:t xml:space="preserve"> na voljo podatki o vrednosti kazalnikov za posamezne panoge bomo za vrednotenje vzeli te podatke. Za izračun vrednosti podjetja Adria </w:t>
      </w:r>
      <w:proofErr w:type="spellStart"/>
      <w:r w:rsidRPr="00664B27">
        <w:rPr>
          <w:rFonts w:ascii="Times New Roman" w:hAnsi="Times New Roman" w:cs="Times New Roman"/>
          <w:sz w:val="24"/>
        </w:rPr>
        <w:t>Mobil</w:t>
      </w:r>
      <w:proofErr w:type="spellEnd"/>
      <w:r w:rsidRPr="00664B27">
        <w:rPr>
          <w:rFonts w:ascii="Times New Roman" w:hAnsi="Times New Roman" w:cs="Times New Roman"/>
          <w:sz w:val="24"/>
        </w:rPr>
        <w:t xml:space="preserve"> bomo vzeli 4 kazalnike, in sicer EV/EBIT, EV/EBIT(1-t), EV/EBITDA ter EV/SALES. Vsi ti kazalniki v števcu vsebujejo </w:t>
      </w:r>
      <w:proofErr w:type="spellStart"/>
      <w:r w:rsidRPr="00664B27">
        <w:rPr>
          <w:rFonts w:ascii="Times New Roman" w:hAnsi="Times New Roman" w:cs="Times New Roman"/>
          <w:sz w:val="24"/>
        </w:rPr>
        <w:t>Enterprise</w:t>
      </w:r>
      <w:proofErr w:type="spellEnd"/>
      <w:r w:rsidRPr="00664B27">
        <w:rPr>
          <w:rFonts w:ascii="Times New Roman" w:hAnsi="Times New Roman" w:cs="Times New Roman"/>
          <w:sz w:val="24"/>
        </w:rPr>
        <w:t xml:space="preserve"> </w:t>
      </w:r>
      <w:proofErr w:type="spellStart"/>
      <w:r w:rsidRPr="00664B27">
        <w:rPr>
          <w:rFonts w:ascii="Times New Roman" w:hAnsi="Times New Roman" w:cs="Times New Roman"/>
          <w:sz w:val="24"/>
        </w:rPr>
        <w:t>value</w:t>
      </w:r>
      <w:proofErr w:type="spellEnd"/>
      <w:r w:rsidRPr="00664B27">
        <w:rPr>
          <w:rFonts w:ascii="Times New Roman" w:hAnsi="Times New Roman" w:cs="Times New Roman"/>
          <w:sz w:val="24"/>
        </w:rPr>
        <w:t xml:space="preserve"> oz. vrednost celotnega </w:t>
      </w:r>
      <w:r w:rsidRPr="00664B27">
        <w:rPr>
          <w:rFonts w:ascii="Times New Roman" w:hAnsi="Times New Roman" w:cs="Times New Roman"/>
          <w:sz w:val="24"/>
        </w:rPr>
        <w:lastRenderedPageBreak/>
        <w:t xml:space="preserve">podjetja, ki je izračunana po naslednji formuli: tržna vrednost kapitala+tržna vrednost dolga-denar. V imenovalcu so različne postavke izkaza poslovnega izida. Standardnih kazalnikov,kot so P/E, P/B ter P/SALES, nismo mogli uporabiti, saj naše podjetje ne kotira na borzi in nima delnic. Tako kljub izračunani vrednosti ene delnice nebi vedeli koliko je vrednost celotnega podjetja, saj ne vemo s koliko delnicami bi morali pomnožiti ceno ene delnice. </w:t>
      </w:r>
    </w:p>
    <w:p w:rsidR="00FA59EB" w:rsidRPr="00664B27" w:rsidRDefault="00FA59EB" w:rsidP="00FA59EB">
      <w:pPr>
        <w:spacing w:line="360" w:lineRule="auto"/>
        <w:jc w:val="both"/>
        <w:rPr>
          <w:rFonts w:ascii="Times New Roman" w:hAnsi="Times New Roman" w:cs="Times New Roman"/>
          <w:sz w:val="24"/>
        </w:rPr>
      </w:pPr>
      <w:r w:rsidRPr="00664B27">
        <w:rPr>
          <w:rFonts w:ascii="Times New Roman" w:hAnsi="Times New Roman" w:cs="Times New Roman"/>
          <w:sz w:val="24"/>
        </w:rPr>
        <w:t>V spodnji tabeli so prikazane vrednosti kazalnikov za dve različni panogi, rekreacija in zabava. Dve panogi smo vzeli zaradi dejstva, da bi načeloma dejavnost našega podjetja lahko spadala v katerokoli izmed izbranih panog. Uporabili smo najnovejše podatke, ki so bili izračunani januarja 2012 za celotni panogi.</w:t>
      </w:r>
    </w:p>
    <w:p w:rsidR="00FA59EB" w:rsidRPr="00664B27" w:rsidRDefault="00664B27" w:rsidP="00664B27">
      <w:pPr>
        <w:pStyle w:val="Caption"/>
        <w:keepNext/>
        <w:spacing w:after="120"/>
        <w:jc w:val="center"/>
        <w:rPr>
          <w:b w:val="0"/>
          <w:color w:val="auto"/>
          <w:sz w:val="20"/>
        </w:rPr>
      </w:pPr>
      <w:bookmarkStart w:id="28" w:name="_Toc327382772"/>
      <w:r w:rsidRPr="00664B27">
        <w:rPr>
          <w:b w:val="0"/>
          <w:color w:val="auto"/>
          <w:sz w:val="20"/>
        </w:rPr>
        <w:t xml:space="preserve">Tabela </w:t>
      </w:r>
      <w:r w:rsidR="005A3C60" w:rsidRPr="00664B27">
        <w:rPr>
          <w:b w:val="0"/>
          <w:color w:val="auto"/>
          <w:sz w:val="20"/>
        </w:rPr>
        <w:fldChar w:fldCharType="begin"/>
      </w:r>
      <w:r w:rsidRPr="00664B27">
        <w:rPr>
          <w:b w:val="0"/>
          <w:color w:val="auto"/>
          <w:sz w:val="20"/>
        </w:rPr>
        <w:instrText xml:space="preserve"> SEQ Tabela \* ARABIC </w:instrText>
      </w:r>
      <w:r w:rsidR="005A3C60" w:rsidRPr="00664B27">
        <w:rPr>
          <w:b w:val="0"/>
          <w:color w:val="auto"/>
          <w:sz w:val="20"/>
        </w:rPr>
        <w:fldChar w:fldCharType="separate"/>
      </w:r>
      <w:r>
        <w:rPr>
          <w:b w:val="0"/>
          <w:noProof/>
          <w:color w:val="auto"/>
          <w:sz w:val="20"/>
        </w:rPr>
        <w:t>10</w:t>
      </w:r>
      <w:r w:rsidR="005A3C60" w:rsidRPr="00664B27">
        <w:rPr>
          <w:b w:val="0"/>
          <w:color w:val="auto"/>
          <w:sz w:val="20"/>
        </w:rPr>
        <w:fldChar w:fldCharType="end"/>
      </w:r>
      <w:r w:rsidRPr="00664B27">
        <w:rPr>
          <w:b w:val="0"/>
          <w:color w:val="auto"/>
          <w:sz w:val="20"/>
        </w:rPr>
        <w:t xml:space="preserve">: Vrednosti splošnih </w:t>
      </w:r>
      <w:proofErr w:type="spellStart"/>
      <w:r w:rsidRPr="00664B27">
        <w:rPr>
          <w:b w:val="0"/>
          <w:color w:val="auto"/>
          <w:sz w:val="20"/>
        </w:rPr>
        <w:t>multiplikatorjev</w:t>
      </w:r>
      <w:proofErr w:type="spellEnd"/>
      <w:r w:rsidRPr="00664B27">
        <w:rPr>
          <w:b w:val="0"/>
          <w:color w:val="auto"/>
          <w:sz w:val="20"/>
        </w:rPr>
        <w:t xml:space="preserve"> za panogi rekreacija in zabava</w:t>
      </w:r>
      <w:bookmarkEnd w:id="28"/>
    </w:p>
    <w:tbl>
      <w:tblPr>
        <w:tblStyle w:val="MediumGrid3-Accent5"/>
        <w:tblW w:w="0" w:type="auto"/>
        <w:tblLook w:val="04A0" w:firstRow="1" w:lastRow="0" w:firstColumn="1" w:lastColumn="0" w:noHBand="0" w:noVBand="1"/>
      </w:tblPr>
      <w:tblGrid>
        <w:gridCol w:w="2926"/>
        <w:gridCol w:w="3215"/>
        <w:gridCol w:w="3010"/>
      </w:tblGrid>
      <w:tr w:rsidR="00FA59EB" w:rsidTr="003E1F97">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2926" w:type="dxa"/>
          </w:tcPr>
          <w:p w:rsidR="00FA59EB" w:rsidRDefault="00293E8B" w:rsidP="003E1F97">
            <w:pPr>
              <w:jc w:val="center"/>
            </w:pPr>
            <w:r>
              <w:rPr>
                <w:noProof/>
                <w:lang w:eastAsia="en-US"/>
              </w:rPr>
              <w:pict>
                <v:shapetype id="_x0000_t32" coordsize="21600,21600" o:spt="32" o:oned="t" path="m,l21600,21600e" filled="f">
                  <v:path arrowok="t" fillok="f" o:connecttype="none"/>
                  <o:lock v:ext="edit" shapetype="t"/>
                </v:shapetype>
                <v:shape id="Straight Arrow Connector 6" o:spid="_x0000_s1031" type="#_x0000_t32" style="position:absolute;left:0;text-align:left;margin-left:-5.1pt;margin-top:-.35pt;width:2in;height:3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"/>
              </w:pict>
            </w:r>
            <w:r w:rsidR="00FA59EB">
              <w:t xml:space="preserve">                               PANOGA</w:t>
            </w:r>
          </w:p>
          <w:p w:rsidR="00FA59EB" w:rsidRDefault="00FA59EB" w:rsidP="003E1F97">
            <w:r>
              <w:t xml:space="preserve">                                 </w:t>
            </w:r>
          </w:p>
          <w:p w:rsidR="00FA59EB" w:rsidRDefault="00FA59EB" w:rsidP="003E1F97">
            <w:r>
              <w:t>KAZALNIKI</w:t>
            </w:r>
          </w:p>
        </w:tc>
        <w:tc>
          <w:tcPr>
            <w:tcW w:w="3215" w:type="dxa"/>
          </w:tcPr>
          <w:p w:rsidR="00FA59EB" w:rsidRDefault="00FA59EB" w:rsidP="003E1F97">
            <w:pPr>
              <w:spacing w:before="240"/>
              <w:jc w:val="center"/>
              <w:cnfStyle w:val="100000000000" w:firstRow="1" w:lastRow="0" w:firstColumn="0" w:lastColumn="0" w:oddVBand="0" w:evenVBand="0" w:oddHBand="0" w:evenHBand="0" w:firstRowFirstColumn="0" w:firstRowLastColumn="0" w:lastRowFirstColumn="0" w:lastRowLastColumn="0"/>
            </w:pPr>
            <w:r>
              <w:t>ENTERTAINMENT</w:t>
            </w:r>
          </w:p>
        </w:tc>
        <w:tc>
          <w:tcPr>
            <w:tcW w:w="3010" w:type="dxa"/>
          </w:tcPr>
          <w:p w:rsidR="00FA59EB" w:rsidRDefault="00FA59EB" w:rsidP="003E1F97">
            <w:pPr>
              <w:spacing w:before="240"/>
              <w:jc w:val="center"/>
              <w:cnfStyle w:val="100000000000" w:firstRow="1" w:lastRow="0" w:firstColumn="0" w:lastColumn="0" w:oddVBand="0" w:evenVBand="0" w:oddHBand="0" w:evenHBand="0" w:firstRowFirstColumn="0" w:firstRowLastColumn="0" w:lastRowFirstColumn="0" w:lastRowLastColumn="0"/>
            </w:pPr>
            <w:r>
              <w:t>RECREATION</w:t>
            </w:r>
          </w:p>
        </w:tc>
      </w:tr>
      <w:tr w:rsidR="00FA59EB" w:rsidTr="003E1F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26" w:type="dxa"/>
          </w:tcPr>
          <w:p w:rsidR="00FA59EB" w:rsidRDefault="00FA59EB" w:rsidP="003E1F97">
            <w:r>
              <w:t>EV/EBIT</w:t>
            </w:r>
          </w:p>
        </w:tc>
        <w:tc>
          <w:tcPr>
            <w:tcW w:w="3215" w:type="dxa"/>
          </w:tcPr>
          <w:p w:rsidR="00FA59EB" w:rsidRDefault="00FA59EB" w:rsidP="003E1F97">
            <w:pPr>
              <w:jc w:val="center"/>
              <w:cnfStyle w:val="000000100000" w:firstRow="0" w:lastRow="0" w:firstColumn="0" w:lastColumn="0" w:oddVBand="0" w:evenVBand="0" w:oddHBand="1" w:evenHBand="0" w:firstRowFirstColumn="0" w:firstRowLastColumn="0" w:lastRowFirstColumn="0" w:lastRowLastColumn="0"/>
            </w:pPr>
            <w:r>
              <w:t>10,67</w:t>
            </w:r>
          </w:p>
        </w:tc>
        <w:tc>
          <w:tcPr>
            <w:tcW w:w="3010" w:type="dxa"/>
          </w:tcPr>
          <w:p w:rsidR="00FA59EB" w:rsidRDefault="00FA59EB" w:rsidP="003E1F97">
            <w:pPr>
              <w:jc w:val="center"/>
              <w:cnfStyle w:val="000000100000" w:firstRow="0" w:lastRow="0" w:firstColumn="0" w:lastColumn="0" w:oddVBand="0" w:evenVBand="0" w:oddHBand="1" w:evenHBand="0" w:firstRowFirstColumn="0" w:firstRowLastColumn="0" w:lastRowFirstColumn="0" w:lastRowLastColumn="0"/>
            </w:pPr>
            <w:r>
              <w:t>13,92</w:t>
            </w:r>
          </w:p>
        </w:tc>
      </w:tr>
      <w:tr w:rsidR="00FA59EB" w:rsidTr="003E1F97">
        <w:trPr>
          <w:trHeight w:val="260"/>
        </w:trPr>
        <w:tc>
          <w:tcPr>
            <w:cnfStyle w:val="001000000000" w:firstRow="0" w:lastRow="0" w:firstColumn="1" w:lastColumn="0" w:oddVBand="0" w:evenVBand="0" w:oddHBand="0" w:evenHBand="0" w:firstRowFirstColumn="0" w:firstRowLastColumn="0" w:lastRowFirstColumn="0" w:lastRowLastColumn="0"/>
            <w:tcW w:w="2926" w:type="dxa"/>
          </w:tcPr>
          <w:p w:rsidR="00FA59EB" w:rsidRDefault="00FA59EB" w:rsidP="003E1F97">
            <w:r>
              <w:t>EV/EBIT(1-t)</w:t>
            </w:r>
          </w:p>
        </w:tc>
        <w:tc>
          <w:tcPr>
            <w:tcW w:w="3215" w:type="dxa"/>
          </w:tcPr>
          <w:p w:rsidR="00FA59EB" w:rsidRDefault="00FA59EB" w:rsidP="003E1F97">
            <w:pPr>
              <w:jc w:val="center"/>
              <w:cnfStyle w:val="000000000000" w:firstRow="0" w:lastRow="0" w:firstColumn="0" w:lastColumn="0" w:oddVBand="0" w:evenVBand="0" w:oddHBand="0" w:evenHBand="0" w:firstRowFirstColumn="0" w:firstRowLastColumn="0" w:lastRowFirstColumn="0" w:lastRowLastColumn="0"/>
            </w:pPr>
            <w:r>
              <w:t>15,54</w:t>
            </w:r>
          </w:p>
        </w:tc>
        <w:tc>
          <w:tcPr>
            <w:tcW w:w="3010" w:type="dxa"/>
          </w:tcPr>
          <w:p w:rsidR="00FA59EB" w:rsidRDefault="00FA59EB" w:rsidP="003E1F97">
            <w:pPr>
              <w:jc w:val="center"/>
              <w:cnfStyle w:val="000000000000" w:firstRow="0" w:lastRow="0" w:firstColumn="0" w:lastColumn="0" w:oddVBand="0" w:evenVBand="0" w:oddHBand="0" w:evenHBand="0" w:firstRowFirstColumn="0" w:firstRowLastColumn="0" w:lastRowFirstColumn="0" w:lastRowLastColumn="0"/>
            </w:pPr>
            <w:r>
              <w:t>17,3</w:t>
            </w:r>
          </w:p>
        </w:tc>
      </w:tr>
      <w:tr w:rsidR="00FA59EB" w:rsidTr="003E1F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26" w:type="dxa"/>
          </w:tcPr>
          <w:p w:rsidR="00FA59EB" w:rsidRDefault="00FA59EB" w:rsidP="003E1F97">
            <w:r>
              <w:t>EV/EBITDA</w:t>
            </w:r>
          </w:p>
        </w:tc>
        <w:tc>
          <w:tcPr>
            <w:tcW w:w="3215" w:type="dxa"/>
          </w:tcPr>
          <w:p w:rsidR="00FA59EB" w:rsidRDefault="00FA59EB" w:rsidP="003E1F97">
            <w:pPr>
              <w:jc w:val="center"/>
              <w:cnfStyle w:val="000000100000" w:firstRow="0" w:lastRow="0" w:firstColumn="0" w:lastColumn="0" w:oddVBand="0" w:evenVBand="0" w:oddHBand="1" w:evenHBand="0" w:firstRowFirstColumn="0" w:firstRowLastColumn="0" w:lastRowFirstColumn="0" w:lastRowLastColumn="0"/>
            </w:pPr>
            <w:r>
              <w:t>8,03</w:t>
            </w:r>
          </w:p>
        </w:tc>
        <w:tc>
          <w:tcPr>
            <w:tcW w:w="3010" w:type="dxa"/>
          </w:tcPr>
          <w:p w:rsidR="00FA59EB" w:rsidRDefault="00FA59EB" w:rsidP="003E1F97">
            <w:pPr>
              <w:jc w:val="center"/>
              <w:cnfStyle w:val="000000100000" w:firstRow="0" w:lastRow="0" w:firstColumn="0" w:lastColumn="0" w:oddVBand="0" w:evenVBand="0" w:oddHBand="1" w:evenHBand="0" w:firstRowFirstColumn="0" w:firstRowLastColumn="0" w:lastRowFirstColumn="0" w:lastRowLastColumn="0"/>
            </w:pPr>
            <w:r>
              <w:t>9,11</w:t>
            </w:r>
          </w:p>
        </w:tc>
      </w:tr>
      <w:tr w:rsidR="00FA59EB" w:rsidTr="003E1F97">
        <w:trPr>
          <w:trHeight w:val="272"/>
        </w:trPr>
        <w:tc>
          <w:tcPr>
            <w:cnfStyle w:val="001000000000" w:firstRow="0" w:lastRow="0" w:firstColumn="1" w:lastColumn="0" w:oddVBand="0" w:evenVBand="0" w:oddHBand="0" w:evenHBand="0" w:firstRowFirstColumn="0" w:firstRowLastColumn="0" w:lastRowFirstColumn="0" w:lastRowLastColumn="0"/>
            <w:tcW w:w="2926" w:type="dxa"/>
          </w:tcPr>
          <w:p w:rsidR="00FA59EB" w:rsidRDefault="00FA59EB" w:rsidP="003E1F97">
            <w:r>
              <w:t>EV/SALES</w:t>
            </w:r>
          </w:p>
        </w:tc>
        <w:tc>
          <w:tcPr>
            <w:tcW w:w="3215" w:type="dxa"/>
          </w:tcPr>
          <w:p w:rsidR="00FA59EB" w:rsidRDefault="00FA59EB" w:rsidP="003E1F97">
            <w:pPr>
              <w:jc w:val="center"/>
              <w:cnfStyle w:val="000000000000" w:firstRow="0" w:lastRow="0" w:firstColumn="0" w:lastColumn="0" w:oddVBand="0" w:evenVBand="0" w:oddHBand="0" w:evenHBand="0" w:firstRowFirstColumn="0" w:firstRowLastColumn="0" w:lastRowFirstColumn="0" w:lastRowLastColumn="0"/>
            </w:pPr>
            <w:r>
              <w:t>1,89</w:t>
            </w:r>
          </w:p>
        </w:tc>
        <w:tc>
          <w:tcPr>
            <w:tcW w:w="3010" w:type="dxa"/>
          </w:tcPr>
          <w:p w:rsidR="00FA59EB" w:rsidRDefault="00FA59EB" w:rsidP="003E1F97">
            <w:pPr>
              <w:jc w:val="center"/>
              <w:cnfStyle w:val="000000000000" w:firstRow="0" w:lastRow="0" w:firstColumn="0" w:lastColumn="0" w:oddVBand="0" w:evenVBand="0" w:oddHBand="0" w:evenHBand="0" w:firstRowFirstColumn="0" w:firstRowLastColumn="0" w:lastRowFirstColumn="0" w:lastRowLastColumn="0"/>
            </w:pPr>
            <w:r>
              <w:t>1,60</w:t>
            </w:r>
          </w:p>
        </w:tc>
      </w:tr>
    </w:tbl>
    <w:p w:rsidR="00FA59EB" w:rsidRDefault="00FA59EB" w:rsidP="00FA59EB"/>
    <w:p w:rsidR="00664B27" w:rsidRPr="00664B27" w:rsidRDefault="00FA59EB" w:rsidP="00664B27">
      <w:pPr>
        <w:spacing w:line="360" w:lineRule="auto"/>
        <w:jc w:val="both"/>
        <w:rPr>
          <w:rFonts w:ascii="Times New Roman" w:hAnsi="Times New Roman" w:cs="Times New Roman"/>
          <w:sz w:val="24"/>
        </w:rPr>
      </w:pPr>
      <w:r w:rsidRPr="00664B27">
        <w:rPr>
          <w:rFonts w:ascii="Times New Roman" w:hAnsi="Times New Roman" w:cs="Times New Roman"/>
          <w:sz w:val="24"/>
        </w:rPr>
        <w:t xml:space="preserve">V spodnji tabeli so izračunane vrednosti podjetja za obe panogi in vsak posamezen kazalnik. Prikazano je tudi povprečje vrednosti podjetja za vsako panogo posebej. </w:t>
      </w:r>
    </w:p>
    <w:p w:rsidR="00FA59EB" w:rsidRPr="00664B27" w:rsidRDefault="00664B27" w:rsidP="00664B27">
      <w:pPr>
        <w:pStyle w:val="Caption"/>
        <w:keepNext/>
        <w:spacing w:after="120"/>
        <w:jc w:val="center"/>
        <w:rPr>
          <w:b w:val="0"/>
          <w:color w:val="auto"/>
          <w:sz w:val="20"/>
        </w:rPr>
      </w:pPr>
      <w:bookmarkStart w:id="29" w:name="_Toc327382773"/>
      <w:r w:rsidRPr="00664B27">
        <w:rPr>
          <w:b w:val="0"/>
          <w:color w:val="auto"/>
          <w:sz w:val="20"/>
        </w:rPr>
        <w:t xml:space="preserve">Tabela </w:t>
      </w:r>
      <w:r w:rsidR="005A3C60" w:rsidRPr="00664B27">
        <w:rPr>
          <w:b w:val="0"/>
          <w:color w:val="auto"/>
          <w:sz w:val="20"/>
        </w:rPr>
        <w:fldChar w:fldCharType="begin"/>
      </w:r>
      <w:r w:rsidRPr="00664B27">
        <w:rPr>
          <w:b w:val="0"/>
          <w:color w:val="auto"/>
          <w:sz w:val="20"/>
        </w:rPr>
        <w:instrText xml:space="preserve"> SEQ Tabela \* ARABIC </w:instrText>
      </w:r>
      <w:r w:rsidR="005A3C60" w:rsidRPr="00664B27">
        <w:rPr>
          <w:b w:val="0"/>
          <w:color w:val="auto"/>
          <w:sz w:val="20"/>
        </w:rPr>
        <w:fldChar w:fldCharType="separate"/>
      </w:r>
      <w:r>
        <w:rPr>
          <w:b w:val="0"/>
          <w:noProof/>
          <w:color w:val="auto"/>
          <w:sz w:val="20"/>
        </w:rPr>
        <w:t>11</w:t>
      </w:r>
      <w:r w:rsidR="005A3C60" w:rsidRPr="00664B27">
        <w:rPr>
          <w:b w:val="0"/>
          <w:color w:val="auto"/>
          <w:sz w:val="20"/>
        </w:rPr>
        <w:fldChar w:fldCharType="end"/>
      </w:r>
      <w:r w:rsidRPr="00664B27">
        <w:rPr>
          <w:b w:val="0"/>
          <w:color w:val="auto"/>
          <w:sz w:val="20"/>
        </w:rPr>
        <w:t xml:space="preserve">: Vrednosti podjetja za panogi izračunane na podlagi različnih splošnih </w:t>
      </w:r>
      <w:proofErr w:type="spellStart"/>
      <w:r w:rsidRPr="00664B27">
        <w:rPr>
          <w:b w:val="0"/>
          <w:color w:val="auto"/>
          <w:sz w:val="20"/>
        </w:rPr>
        <w:t>multiplikatorjev</w:t>
      </w:r>
      <w:bookmarkEnd w:id="29"/>
      <w:proofErr w:type="spellEnd"/>
    </w:p>
    <w:tbl>
      <w:tblPr>
        <w:tblStyle w:val="MediumGrid3-Accent5"/>
        <w:tblW w:w="0" w:type="auto"/>
        <w:tblLook w:val="04E0" w:firstRow="1" w:lastRow="1" w:firstColumn="1" w:lastColumn="0" w:noHBand="0" w:noVBand="1"/>
      </w:tblPr>
      <w:tblGrid>
        <w:gridCol w:w="3070"/>
        <w:gridCol w:w="3071"/>
        <w:gridCol w:w="3071"/>
      </w:tblGrid>
      <w:tr w:rsidR="00FA59EB" w:rsidTr="003E1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A59EB" w:rsidRDefault="00293E8B" w:rsidP="003E1F97">
            <w:r>
              <w:rPr>
                <w:noProof/>
                <w:lang w:eastAsia="en-US"/>
              </w:rPr>
              <w:pict>
                <v:shape id="Straight Arrow Connector 5" o:spid="_x0000_s1030" type="#_x0000_t32" style="position:absolute;margin-left:-5.1pt;margin-top:-.65pt;width:152.75pt;height:40.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"/>
              </w:pict>
            </w:r>
            <w:r w:rsidR="00FA59EB">
              <w:t xml:space="preserve">                            PANOGA</w:t>
            </w:r>
          </w:p>
          <w:p w:rsidR="00FA59EB" w:rsidRDefault="00FA59EB" w:rsidP="003E1F97"/>
          <w:p w:rsidR="00FA59EB" w:rsidRDefault="00FA59EB" w:rsidP="003E1F97">
            <w:r>
              <w:t>KAZALNIKI</w:t>
            </w:r>
          </w:p>
        </w:tc>
        <w:tc>
          <w:tcPr>
            <w:tcW w:w="3071" w:type="dxa"/>
          </w:tcPr>
          <w:p w:rsidR="00FA59EB" w:rsidRDefault="00FA59EB" w:rsidP="003E1F97">
            <w:pPr>
              <w:spacing w:before="240"/>
              <w:jc w:val="center"/>
              <w:cnfStyle w:val="100000000000" w:firstRow="1" w:lastRow="0" w:firstColumn="0" w:lastColumn="0" w:oddVBand="0" w:evenVBand="0" w:oddHBand="0" w:evenHBand="0" w:firstRowFirstColumn="0" w:firstRowLastColumn="0" w:lastRowFirstColumn="0" w:lastRowLastColumn="0"/>
            </w:pPr>
            <w:r>
              <w:t>ENTERTAINMENT</w:t>
            </w:r>
          </w:p>
        </w:tc>
        <w:tc>
          <w:tcPr>
            <w:tcW w:w="3071" w:type="dxa"/>
          </w:tcPr>
          <w:p w:rsidR="00FA59EB" w:rsidRDefault="00FA59EB" w:rsidP="003E1F97">
            <w:pPr>
              <w:spacing w:before="240"/>
              <w:jc w:val="center"/>
              <w:cnfStyle w:val="100000000000" w:firstRow="1" w:lastRow="0" w:firstColumn="0" w:lastColumn="0" w:oddVBand="0" w:evenVBand="0" w:oddHBand="0" w:evenHBand="0" w:firstRowFirstColumn="0" w:firstRowLastColumn="0" w:lastRowFirstColumn="0" w:lastRowLastColumn="0"/>
            </w:pPr>
            <w:r>
              <w:t>RECREATION</w:t>
            </w:r>
          </w:p>
        </w:tc>
      </w:tr>
      <w:tr w:rsidR="00FA59EB" w:rsidTr="003E1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A59EB" w:rsidRDefault="00FA59EB" w:rsidP="003E1F97">
            <w:r>
              <w:t>EV/EBIT</w:t>
            </w:r>
          </w:p>
        </w:tc>
        <w:tc>
          <w:tcPr>
            <w:tcW w:w="3071" w:type="dxa"/>
          </w:tcPr>
          <w:p w:rsidR="00FA59EB" w:rsidRDefault="00FA59EB" w:rsidP="003E1F97">
            <w:pPr>
              <w:jc w:val="center"/>
              <w:cnfStyle w:val="000000100000" w:firstRow="0" w:lastRow="0" w:firstColumn="0" w:lastColumn="0" w:oddVBand="0" w:evenVBand="0" w:oddHBand="1" w:evenHBand="0" w:firstRowFirstColumn="0" w:firstRowLastColumn="0" w:lastRowFirstColumn="0" w:lastRowLastColumn="0"/>
            </w:pPr>
            <w:r>
              <w:t>107.332.805,69€</w:t>
            </w:r>
          </w:p>
        </w:tc>
        <w:tc>
          <w:tcPr>
            <w:tcW w:w="3071" w:type="dxa"/>
          </w:tcPr>
          <w:p w:rsidR="00FA59EB" w:rsidRDefault="00FA59EB" w:rsidP="003E1F97">
            <w:pPr>
              <w:jc w:val="center"/>
              <w:cnfStyle w:val="000000100000" w:firstRow="0" w:lastRow="0" w:firstColumn="0" w:lastColumn="0" w:oddVBand="0" w:evenVBand="0" w:oddHBand="1" w:evenHBand="0" w:firstRowFirstColumn="0" w:firstRowLastColumn="0" w:lastRowFirstColumn="0" w:lastRowLastColumn="0"/>
            </w:pPr>
            <w:r>
              <w:t>140.025.553,44€</w:t>
            </w:r>
          </w:p>
        </w:tc>
      </w:tr>
      <w:tr w:rsidR="00FA59EB" w:rsidTr="003E1F97">
        <w:tc>
          <w:tcPr>
            <w:cnfStyle w:val="001000000000" w:firstRow="0" w:lastRow="0" w:firstColumn="1" w:lastColumn="0" w:oddVBand="0" w:evenVBand="0" w:oddHBand="0" w:evenHBand="0" w:firstRowFirstColumn="0" w:firstRowLastColumn="0" w:lastRowFirstColumn="0" w:lastRowLastColumn="0"/>
            <w:tcW w:w="3070" w:type="dxa"/>
          </w:tcPr>
          <w:p w:rsidR="00FA59EB" w:rsidRDefault="00FA59EB" w:rsidP="003E1F97">
            <w:r>
              <w:t>EV/EBIT(1-t)</w:t>
            </w:r>
          </w:p>
        </w:tc>
        <w:tc>
          <w:tcPr>
            <w:tcW w:w="3071" w:type="dxa"/>
          </w:tcPr>
          <w:p w:rsidR="00FA59EB" w:rsidRDefault="00FA59EB" w:rsidP="003E1F97">
            <w:pPr>
              <w:jc w:val="center"/>
              <w:cnfStyle w:val="000000000000" w:firstRow="0" w:lastRow="0" w:firstColumn="0" w:lastColumn="0" w:oddVBand="0" w:evenVBand="0" w:oddHBand="0" w:evenHBand="0" w:firstRowFirstColumn="0" w:firstRowLastColumn="0" w:lastRowFirstColumn="0" w:lastRowLastColumn="0"/>
            </w:pPr>
            <w:r>
              <w:t>125.057.310,84€</w:t>
            </w:r>
          </w:p>
        </w:tc>
        <w:tc>
          <w:tcPr>
            <w:tcW w:w="3071" w:type="dxa"/>
          </w:tcPr>
          <w:p w:rsidR="00FA59EB" w:rsidRDefault="00FA59EB" w:rsidP="003E1F97">
            <w:pPr>
              <w:jc w:val="center"/>
              <w:cnfStyle w:val="000000000000" w:firstRow="0" w:lastRow="0" w:firstColumn="0" w:lastColumn="0" w:oddVBand="0" w:evenVBand="0" w:oddHBand="0" w:evenHBand="0" w:firstRowFirstColumn="0" w:firstRowLastColumn="0" w:lastRowFirstColumn="0" w:lastRowLastColumn="0"/>
            </w:pPr>
            <w:r>
              <w:t>139.220.815,80€</w:t>
            </w:r>
          </w:p>
        </w:tc>
      </w:tr>
      <w:tr w:rsidR="00FA59EB" w:rsidTr="003E1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A59EB" w:rsidRDefault="00FA59EB" w:rsidP="003E1F97">
            <w:r>
              <w:t>EV/EBITDA</w:t>
            </w:r>
          </w:p>
        </w:tc>
        <w:tc>
          <w:tcPr>
            <w:tcW w:w="3071" w:type="dxa"/>
          </w:tcPr>
          <w:p w:rsidR="00FA59EB" w:rsidRDefault="00FA59EB" w:rsidP="003E1F97">
            <w:pPr>
              <w:jc w:val="center"/>
              <w:cnfStyle w:val="000000100000" w:firstRow="0" w:lastRow="0" w:firstColumn="0" w:lastColumn="0" w:oddVBand="0" w:evenVBand="0" w:oddHBand="1" w:evenHBand="0" w:firstRowFirstColumn="0" w:firstRowLastColumn="0" w:lastRowFirstColumn="0" w:lastRowLastColumn="0"/>
            </w:pPr>
            <w:r>
              <w:t>120.400.462,93€</w:t>
            </w:r>
          </w:p>
        </w:tc>
        <w:tc>
          <w:tcPr>
            <w:tcW w:w="3071" w:type="dxa"/>
          </w:tcPr>
          <w:p w:rsidR="00FA59EB" w:rsidRDefault="00FA59EB" w:rsidP="003E1F97">
            <w:pPr>
              <w:jc w:val="center"/>
              <w:cnfStyle w:val="000000100000" w:firstRow="0" w:lastRow="0" w:firstColumn="0" w:lastColumn="0" w:oddVBand="0" w:evenVBand="0" w:oddHBand="1" w:evenHBand="0" w:firstRowFirstColumn="0" w:firstRowLastColumn="0" w:lastRowFirstColumn="0" w:lastRowLastColumn="0"/>
            </w:pPr>
            <w:r>
              <w:t>136.593.800,41€</w:t>
            </w:r>
          </w:p>
        </w:tc>
      </w:tr>
      <w:tr w:rsidR="00FA59EB" w:rsidTr="003E1F97">
        <w:tc>
          <w:tcPr>
            <w:cnfStyle w:val="001000000000" w:firstRow="0" w:lastRow="0" w:firstColumn="1" w:lastColumn="0" w:oddVBand="0" w:evenVBand="0" w:oddHBand="0" w:evenHBand="0" w:firstRowFirstColumn="0" w:firstRowLastColumn="0" w:lastRowFirstColumn="0" w:lastRowLastColumn="0"/>
            <w:tcW w:w="3070" w:type="dxa"/>
          </w:tcPr>
          <w:p w:rsidR="00FA59EB" w:rsidRDefault="00FA59EB" w:rsidP="003E1F97">
            <w:r>
              <w:t>EV/SALES</w:t>
            </w:r>
          </w:p>
        </w:tc>
        <w:tc>
          <w:tcPr>
            <w:tcW w:w="3071" w:type="dxa"/>
          </w:tcPr>
          <w:p w:rsidR="00FA59EB" w:rsidRDefault="00FA59EB" w:rsidP="003E1F97">
            <w:pPr>
              <w:jc w:val="center"/>
              <w:cnfStyle w:val="000000000000" w:firstRow="0" w:lastRow="0" w:firstColumn="0" w:lastColumn="0" w:oddVBand="0" w:evenVBand="0" w:oddHBand="0" w:evenHBand="0" w:firstRowFirstColumn="0" w:firstRowLastColumn="0" w:lastRowFirstColumn="0" w:lastRowLastColumn="0"/>
            </w:pPr>
            <w:r>
              <w:t>447.304.050,90€</w:t>
            </w:r>
          </w:p>
        </w:tc>
        <w:tc>
          <w:tcPr>
            <w:tcW w:w="3071" w:type="dxa"/>
          </w:tcPr>
          <w:p w:rsidR="00FA59EB" w:rsidRDefault="00FA59EB" w:rsidP="003E1F97">
            <w:pPr>
              <w:jc w:val="center"/>
              <w:cnfStyle w:val="000000000000" w:firstRow="0" w:lastRow="0" w:firstColumn="0" w:lastColumn="0" w:oddVBand="0" w:evenVBand="0" w:oddHBand="0" w:evenHBand="0" w:firstRowFirstColumn="0" w:firstRowLastColumn="0" w:lastRowFirstColumn="0" w:lastRowLastColumn="0"/>
            </w:pPr>
            <w:r>
              <w:t>378.670.096,00€</w:t>
            </w:r>
          </w:p>
        </w:tc>
      </w:tr>
      <w:tr w:rsidR="00FA59EB" w:rsidTr="003E1F9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A59EB" w:rsidRDefault="00FA59EB" w:rsidP="003E1F97">
            <w:r>
              <w:t>POVPREČJE</w:t>
            </w:r>
          </w:p>
        </w:tc>
        <w:tc>
          <w:tcPr>
            <w:tcW w:w="3071" w:type="dxa"/>
          </w:tcPr>
          <w:p w:rsidR="00FA59EB" w:rsidRDefault="00FA59EB" w:rsidP="003E1F97">
            <w:pPr>
              <w:jc w:val="center"/>
              <w:cnfStyle w:val="010000000000" w:firstRow="0" w:lastRow="1" w:firstColumn="0" w:lastColumn="0" w:oddVBand="0" w:evenVBand="0" w:oddHBand="0" w:evenHBand="0" w:firstRowFirstColumn="0" w:firstRowLastColumn="0" w:lastRowFirstColumn="0" w:lastRowLastColumn="0"/>
            </w:pPr>
            <w:r>
              <w:t>200.023.657,59€</w:t>
            </w:r>
          </w:p>
        </w:tc>
        <w:tc>
          <w:tcPr>
            <w:tcW w:w="3071" w:type="dxa"/>
          </w:tcPr>
          <w:p w:rsidR="00FA59EB" w:rsidRDefault="00FA59EB" w:rsidP="003E1F97">
            <w:pPr>
              <w:jc w:val="center"/>
              <w:cnfStyle w:val="010000000000" w:firstRow="0" w:lastRow="1" w:firstColumn="0" w:lastColumn="0" w:oddVBand="0" w:evenVBand="0" w:oddHBand="0" w:evenHBand="0" w:firstRowFirstColumn="0" w:firstRowLastColumn="0" w:lastRowFirstColumn="0" w:lastRowLastColumn="0"/>
            </w:pPr>
            <w:r>
              <w:t>198.627.566,41€</w:t>
            </w:r>
          </w:p>
        </w:tc>
      </w:tr>
    </w:tbl>
    <w:p w:rsidR="00FA59EB" w:rsidRDefault="00FA59EB" w:rsidP="00FA59EB"/>
    <w:p w:rsidR="00FA59EB" w:rsidRPr="00664B27" w:rsidRDefault="00FA59EB" w:rsidP="00FA59EB">
      <w:pPr>
        <w:spacing w:line="360" w:lineRule="auto"/>
        <w:jc w:val="both"/>
        <w:rPr>
          <w:rFonts w:ascii="Times New Roman" w:hAnsi="Times New Roman" w:cs="Times New Roman"/>
          <w:sz w:val="24"/>
        </w:rPr>
      </w:pPr>
      <w:r w:rsidRPr="00664B27">
        <w:rPr>
          <w:rFonts w:ascii="Times New Roman" w:hAnsi="Times New Roman" w:cs="Times New Roman"/>
          <w:sz w:val="24"/>
        </w:rPr>
        <w:t xml:space="preserve">Zanimivo je, da v zgornji tabeli očitno izstopa izračun vrednosti podjetja na podlagi </w:t>
      </w:r>
      <w:proofErr w:type="spellStart"/>
      <w:r w:rsidRPr="00664B27">
        <w:rPr>
          <w:rFonts w:ascii="Times New Roman" w:hAnsi="Times New Roman" w:cs="Times New Roman"/>
          <w:sz w:val="24"/>
        </w:rPr>
        <w:t>multiplikatorja</w:t>
      </w:r>
      <w:proofErr w:type="spellEnd"/>
      <w:r w:rsidRPr="00664B27">
        <w:rPr>
          <w:rFonts w:ascii="Times New Roman" w:hAnsi="Times New Roman" w:cs="Times New Roman"/>
          <w:sz w:val="24"/>
        </w:rPr>
        <w:t xml:space="preserve"> EV/SALES. Glede na to, da ta izračun vrednosti podjetja kar za nekajkrat presega ostale izračunane vrednosti smo se odločili, da izračunamo tudi povprečje brez tega kazalca, saj močno popači dobljene rezultate in preveč poviša povprečno vrednost. Spodaj prikazujemo izračunano povprečje za obe panogi brez upoštevanja tega kazalca.</w:t>
      </w:r>
    </w:p>
    <w:p w:rsidR="00FA59EB" w:rsidRPr="00664B27" w:rsidRDefault="00664B27" w:rsidP="00664B27">
      <w:pPr>
        <w:pStyle w:val="Caption"/>
        <w:keepNext/>
        <w:spacing w:after="120"/>
        <w:jc w:val="center"/>
        <w:rPr>
          <w:b w:val="0"/>
          <w:color w:val="auto"/>
          <w:sz w:val="20"/>
        </w:rPr>
      </w:pPr>
      <w:bookmarkStart w:id="30" w:name="_Toc327382774"/>
      <w:r w:rsidRPr="00664B27">
        <w:rPr>
          <w:b w:val="0"/>
          <w:color w:val="auto"/>
          <w:sz w:val="20"/>
        </w:rPr>
        <w:lastRenderedPageBreak/>
        <w:t xml:space="preserve">Tabela </w:t>
      </w:r>
      <w:r w:rsidR="005A3C60" w:rsidRPr="00664B27">
        <w:rPr>
          <w:b w:val="0"/>
          <w:color w:val="auto"/>
          <w:sz w:val="20"/>
        </w:rPr>
        <w:fldChar w:fldCharType="begin"/>
      </w:r>
      <w:r w:rsidRPr="00664B27">
        <w:rPr>
          <w:b w:val="0"/>
          <w:color w:val="auto"/>
          <w:sz w:val="20"/>
        </w:rPr>
        <w:instrText xml:space="preserve"> SEQ Tabela \* ARABIC </w:instrText>
      </w:r>
      <w:r w:rsidR="005A3C60" w:rsidRPr="00664B27">
        <w:rPr>
          <w:b w:val="0"/>
          <w:color w:val="auto"/>
          <w:sz w:val="20"/>
        </w:rPr>
        <w:fldChar w:fldCharType="separate"/>
      </w:r>
      <w:r>
        <w:rPr>
          <w:b w:val="0"/>
          <w:noProof/>
          <w:color w:val="auto"/>
          <w:sz w:val="20"/>
        </w:rPr>
        <w:t>12</w:t>
      </w:r>
      <w:r w:rsidR="005A3C60" w:rsidRPr="00664B27">
        <w:rPr>
          <w:b w:val="0"/>
          <w:color w:val="auto"/>
          <w:sz w:val="20"/>
        </w:rPr>
        <w:fldChar w:fldCharType="end"/>
      </w:r>
      <w:r w:rsidRPr="00664B27">
        <w:rPr>
          <w:b w:val="0"/>
          <w:color w:val="auto"/>
          <w:sz w:val="20"/>
        </w:rPr>
        <w:t>: Izračun vrednosti podjetja brez upoštevanega kazalnika EV/SALES</w:t>
      </w:r>
      <w:bookmarkEnd w:id="30"/>
      <w:r w:rsidR="00FA59EB" w:rsidRPr="00664B27">
        <w:rPr>
          <w:b w:val="0"/>
          <w:color w:val="auto"/>
          <w:sz w:val="20"/>
        </w:rPr>
        <w:t xml:space="preserve"> </w:t>
      </w:r>
    </w:p>
    <w:tbl>
      <w:tblPr>
        <w:tblStyle w:val="MediumGrid3-Accent5"/>
        <w:tblW w:w="0" w:type="auto"/>
        <w:tblLook w:val="04A0" w:firstRow="1" w:lastRow="0" w:firstColumn="1" w:lastColumn="0" w:noHBand="0" w:noVBand="1"/>
      </w:tblPr>
      <w:tblGrid>
        <w:gridCol w:w="3082"/>
        <w:gridCol w:w="3083"/>
        <w:gridCol w:w="3083"/>
      </w:tblGrid>
      <w:tr w:rsidR="00FA59EB" w:rsidTr="003E1F97">
        <w:trPr>
          <w:cnfStyle w:val="100000000000" w:firstRow="1" w:lastRow="0" w:firstColumn="0" w:lastColumn="0" w:oddVBand="0" w:evenVBand="0" w:oddHBand="0"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3082" w:type="dxa"/>
          </w:tcPr>
          <w:p w:rsidR="00FA59EB" w:rsidRDefault="00293E8B" w:rsidP="003E1F97">
            <w:pPr>
              <w:spacing w:line="360" w:lineRule="auto"/>
              <w:jc w:val="both"/>
            </w:pPr>
            <w:r>
              <w:rPr>
                <w:noProof/>
                <w:lang w:eastAsia="en-US"/>
              </w:rPr>
              <w:pict>
                <v:shape id="Straight Arrow Connector 4" o:spid="_x0000_s1029" type="#_x0000_t32" style="position:absolute;left:0;text-align:left;margin-left:-5.1pt;margin-top:.5pt;width:151.5pt;height:58.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"/>
              </w:pict>
            </w:r>
            <w:r w:rsidR="00FA59EB">
              <w:t xml:space="preserve">                                </w:t>
            </w:r>
          </w:p>
          <w:p w:rsidR="00FA59EB" w:rsidRDefault="00FA59EB" w:rsidP="003E1F97">
            <w:pPr>
              <w:spacing w:line="360" w:lineRule="auto"/>
              <w:jc w:val="both"/>
            </w:pPr>
            <w:r>
              <w:t xml:space="preserve">                                       Panoga</w:t>
            </w:r>
          </w:p>
          <w:p w:rsidR="00FA59EB" w:rsidRDefault="00FA59EB" w:rsidP="003E1F97">
            <w:pPr>
              <w:spacing w:line="360" w:lineRule="auto"/>
              <w:jc w:val="both"/>
            </w:pPr>
          </w:p>
        </w:tc>
        <w:tc>
          <w:tcPr>
            <w:tcW w:w="3083" w:type="dxa"/>
          </w:tcPr>
          <w:p w:rsidR="00FA59EB" w:rsidRDefault="00FA59EB" w:rsidP="003E1F97">
            <w:pPr>
              <w:spacing w:line="360" w:lineRule="auto"/>
              <w:jc w:val="both"/>
              <w:cnfStyle w:val="100000000000" w:firstRow="1" w:lastRow="0" w:firstColumn="0" w:lastColumn="0" w:oddVBand="0" w:evenVBand="0" w:oddHBand="0" w:evenHBand="0" w:firstRowFirstColumn="0" w:firstRowLastColumn="0" w:lastRowFirstColumn="0" w:lastRowLastColumn="0"/>
            </w:pPr>
          </w:p>
          <w:p w:rsidR="00FA59EB" w:rsidRDefault="00FA59EB" w:rsidP="003E1F97">
            <w:pPr>
              <w:spacing w:line="360" w:lineRule="auto"/>
              <w:jc w:val="center"/>
              <w:cnfStyle w:val="100000000000" w:firstRow="1" w:lastRow="0" w:firstColumn="0" w:lastColumn="0" w:oddVBand="0" w:evenVBand="0" w:oddHBand="0" w:evenHBand="0" w:firstRowFirstColumn="0" w:firstRowLastColumn="0" w:lastRowFirstColumn="0" w:lastRowLastColumn="0"/>
            </w:pPr>
            <w:r>
              <w:t>ENTERTAINMENT</w:t>
            </w:r>
          </w:p>
        </w:tc>
        <w:tc>
          <w:tcPr>
            <w:tcW w:w="3083" w:type="dxa"/>
          </w:tcPr>
          <w:p w:rsidR="00FA59EB" w:rsidRDefault="00FA59EB" w:rsidP="003E1F97">
            <w:pPr>
              <w:spacing w:line="360" w:lineRule="auto"/>
              <w:jc w:val="both"/>
              <w:cnfStyle w:val="100000000000" w:firstRow="1" w:lastRow="0" w:firstColumn="0" w:lastColumn="0" w:oddVBand="0" w:evenVBand="0" w:oddHBand="0" w:evenHBand="0" w:firstRowFirstColumn="0" w:firstRowLastColumn="0" w:lastRowFirstColumn="0" w:lastRowLastColumn="0"/>
            </w:pPr>
          </w:p>
          <w:p w:rsidR="00FA59EB" w:rsidRDefault="00FA59EB" w:rsidP="003E1F97">
            <w:pPr>
              <w:spacing w:line="360" w:lineRule="auto"/>
              <w:jc w:val="center"/>
              <w:cnfStyle w:val="100000000000" w:firstRow="1" w:lastRow="0" w:firstColumn="0" w:lastColumn="0" w:oddVBand="0" w:evenVBand="0" w:oddHBand="0" w:evenHBand="0" w:firstRowFirstColumn="0" w:firstRowLastColumn="0" w:lastRowFirstColumn="0" w:lastRowLastColumn="0"/>
            </w:pPr>
            <w:r>
              <w:t>RECREATION</w:t>
            </w:r>
          </w:p>
        </w:tc>
      </w:tr>
      <w:tr w:rsidR="00FA59EB" w:rsidTr="003E1F97">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3082" w:type="dxa"/>
          </w:tcPr>
          <w:p w:rsidR="00FA59EB" w:rsidRDefault="00FA59EB" w:rsidP="003E1F97">
            <w:pPr>
              <w:spacing w:line="360" w:lineRule="auto"/>
              <w:jc w:val="both"/>
            </w:pPr>
            <w:r>
              <w:t xml:space="preserve">Povprečna vrednost podjetja Adria </w:t>
            </w:r>
            <w:proofErr w:type="spellStart"/>
            <w:r>
              <w:t>Mobil</w:t>
            </w:r>
            <w:proofErr w:type="spellEnd"/>
          </w:p>
        </w:tc>
        <w:tc>
          <w:tcPr>
            <w:tcW w:w="3083" w:type="dxa"/>
          </w:tcPr>
          <w:p w:rsidR="00FA59EB" w:rsidRDefault="00FA59EB" w:rsidP="003E1F97">
            <w:pPr>
              <w:spacing w:before="240" w:line="360" w:lineRule="auto"/>
              <w:jc w:val="center"/>
              <w:cnfStyle w:val="000000100000" w:firstRow="0" w:lastRow="0" w:firstColumn="0" w:lastColumn="0" w:oddVBand="0" w:evenVBand="0" w:oddHBand="1" w:evenHBand="0" w:firstRowFirstColumn="0" w:firstRowLastColumn="0" w:lastRowFirstColumn="0" w:lastRowLastColumn="0"/>
            </w:pPr>
            <w:r>
              <w:t>117.596.859,82€</w:t>
            </w:r>
          </w:p>
          <w:p w:rsidR="00FA59EB" w:rsidRDefault="00FA59EB" w:rsidP="003E1F97">
            <w:pPr>
              <w:spacing w:line="360" w:lineRule="auto"/>
              <w:jc w:val="both"/>
              <w:cnfStyle w:val="000000100000" w:firstRow="0" w:lastRow="0" w:firstColumn="0" w:lastColumn="0" w:oddVBand="0" w:evenVBand="0" w:oddHBand="1" w:evenHBand="0" w:firstRowFirstColumn="0" w:firstRowLastColumn="0" w:lastRowFirstColumn="0" w:lastRowLastColumn="0"/>
            </w:pPr>
          </w:p>
        </w:tc>
        <w:tc>
          <w:tcPr>
            <w:tcW w:w="3083" w:type="dxa"/>
          </w:tcPr>
          <w:p w:rsidR="00FA59EB" w:rsidRDefault="00FA59EB" w:rsidP="003E1F97">
            <w:pPr>
              <w:spacing w:before="240" w:line="360" w:lineRule="auto"/>
              <w:jc w:val="center"/>
              <w:cnfStyle w:val="000000100000" w:firstRow="0" w:lastRow="0" w:firstColumn="0" w:lastColumn="0" w:oddVBand="0" w:evenVBand="0" w:oddHBand="1" w:evenHBand="0" w:firstRowFirstColumn="0" w:firstRowLastColumn="0" w:lastRowFirstColumn="0" w:lastRowLastColumn="0"/>
            </w:pPr>
            <w:r>
              <w:t>138.613.389,88€</w:t>
            </w:r>
          </w:p>
        </w:tc>
      </w:tr>
    </w:tbl>
    <w:p w:rsidR="00FA59EB" w:rsidRDefault="00FA59EB" w:rsidP="00FA59EB">
      <w:pPr>
        <w:spacing w:line="360" w:lineRule="auto"/>
        <w:jc w:val="both"/>
      </w:pPr>
    </w:p>
    <w:p w:rsidR="00FA59EB" w:rsidRPr="00664B27" w:rsidRDefault="00FA59EB" w:rsidP="00FA59EB">
      <w:pPr>
        <w:spacing w:line="360" w:lineRule="auto"/>
        <w:jc w:val="both"/>
        <w:rPr>
          <w:rFonts w:ascii="Times New Roman" w:hAnsi="Times New Roman" w:cs="Times New Roman"/>
          <w:sz w:val="24"/>
        </w:rPr>
      </w:pPr>
      <w:r w:rsidRPr="00664B27">
        <w:rPr>
          <w:rFonts w:ascii="Times New Roman" w:hAnsi="Times New Roman" w:cs="Times New Roman"/>
          <w:sz w:val="24"/>
        </w:rPr>
        <w:t xml:space="preserve">V spodnjih dveh tabelah smo za ustvarjanje boljšega občutka in primerjave izračunali vrednosti podjetja iz kazalnikov, ki so narejeni na podlagi podjetij iz Evrope. Ti izračuni so za nas pomembni, saj ima Adria </w:t>
      </w:r>
      <w:proofErr w:type="spellStart"/>
      <w:r w:rsidRPr="00664B27">
        <w:rPr>
          <w:rFonts w:ascii="Times New Roman" w:hAnsi="Times New Roman" w:cs="Times New Roman"/>
          <w:sz w:val="24"/>
        </w:rPr>
        <w:t>Mobil</w:t>
      </w:r>
      <w:proofErr w:type="spellEnd"/>
      <w:r w:rsidRPr="00664B27">
        <w:rPr>
          <w:rFonts w:ascii="Times New Roman" w:hAnsi="Times New Roman" w:cs="Times New Roman"/>
          <w:sz w:val="24"/>
        </w:rPr>
        <w:t xml:space="preserve"> vse največje konkurente na evropskem trgu in je ta trg tudi najpomembnejši za njeno poslovanje. Glede na to, da smo za področje evropskega trga uspeli za panogi rekreacija in zabava pridobiti le kazalnik EV/SALES, prikazujemo v spodnji tabeli le izračuna vrednost podjetja na podlagi slednjega. Glede na to, da so ti izračuni precej bolj verjetni, kot so tisti, ki močno izstopajo v prvi tabeli, smo se odločili, da izračunamo še povprečno vrednost podjetja Adria </w:t>
      </w:r>
      <w:proofErr w:type="spellStart"/>
      <w:r w:rsidRPr="00664B27">
        <w:rPr>
          <w:rFonts w:ascii="Times New Roman" w:hAnsi="Times New Roman" w:cs="Times New Roman"/>
          <w:sz w:val="24"/>
        </w:rPr>
        <w:t>Mobil</w:t>
      </w:r>
      <w:proofErr w:type="spellEnd"/>
      <w:r w:rsidRPr="00664B27">
        <w:rPr>
          <w:rFonts w:ascii="Times New Roman" w:hAnsi="Times New Roman" w:cs="Times New Roman"/>
          <w:sz w:val="24"/>
        </w:rPr>
        <w:t xml:space="preserve"> s pomočjo te vrednosti s katero smo zamenjali s tisto v prvi tabeli. Tako spodaj prikazujemo tudi povprečno vrednost podjetja z upoštevanjem spremenjenega kazalca EV/SALES.</w:t>
      </w:r>
    </w:p>
    <w:p w:rsidR="00FA59EB" w:rsidRPr="00664B27" w:rsidRDefault="00664B27" w:rsidP="00664B27">
      <w:pPr>
        <w:pStyle w:val="Caption"/>
        <w:keepNext/>
        <w:spacing w:after="120"/>
        <w:jc w:val="center"/>
        <w:rPr>
          <w:b w:val="0"/>
          <w:color w:val="auto"/>
          <w:sz w:val="20"/>
        </w:rPr>
      </w:pPr>
      <w:bookmarkStart w:id="31" w:name="_Toc327382775"/>
      <w:r w:rsidRPr="00664B27">
        <w:rPr>
          <w:b w:val="0"/>
          <w:color w:val="auto"/>
          <w:sz w:val="20"/>
        </w:rPr>
        <w:t xml:space="preserve">Tabela </w:t>
      </w:r>
      <w:r w:rsidR="005A3C60" w:rsidRPr="00664B27">
        <w:rPr>
          <w:b w:val="0"/>
          <w:color w:val="auto"/>
          <w:sz w:val="20"/>
        </w:rPr>
        <w:fldChar w:fldCharType="begin"/>
      </w:r>
      <w:r w:rsidRPr="00664B27">
        <w:rPr>
          <w:b w:val="0"/>
          <w:color w:val="auto"/>
          <w:sz w:val="20"/>
        </w:rPr>
        <w:instrText xml:space="preserve"> SEQ Tabela \* ARABIC </w:instrText>
      </w:r>
      <w:r w:rsidR="005A3C60" w:rsidRPr="00664B27">
        <w:rPr>
          <w:b w:val="0"/>
          <w:color w:val="auto"/>
          <w:sz w:val="20"/>
        </w:rPr>
        <w:fldChar w:fldCharType="separate"/>
      </w:r>
      <w:r>
        <w:rPr>
          <w:b w:val="0"/>
          <w:noProof/>
          <w:color w:val="auto"/>
          <w:sz w:val="20"/>
        </w:rPr>
        <w:t>13</w:t>
      </w:r>
      <w:r w:rsidR="005A3C60" w:rsidRPr="00664B27">
        <w:rPr>
          <w:b w:val="0"/>
          <w:color w:val="auto"/>
          <w:sz w:val="20"/>
        </w:rPr>
        <w:fldChar w:fldCharType="end"/>
      </w:r>
      <w:r w:rsidRPr="00664B27">
        <w:rPr>
          <w:b w:val="0"/>
          <w:color w:val="auto"/>
          <w:sz w:val="20"/>
        </w:rPr>
        <w:t>: Izračun povprečne vrednosti podjetja na podlagi spremenjenega kazalca EV/SALES</w:t>
      </w:r>
      <w:bookmarkEnd w:id="31"/>
    </w:p>
    <w:tbl>
      <w:tblPr>
        <w:tblW w:w="9509" w:type="dxa"/>
        <w:tblInd w:w="70" w:type="dxa"/>
        <w:tblCellMar>
          <w:left w:w="70" w:type="dxa"/>
          <w:right w:w="70" w:type="dxa"/>
        </w:tblCellMar>
        <w:tblLook w:val="04A0" w:firstRow="1" w:lastRow="0" w:firstColumn="1" w:lastColumn="0" w:noHBand="0" w:noVBand="1"/>
      </w:tblPr>
      <w:tblGrid>
        <w:gridCol w:w="4805"/>
        <w:gridCol w:w="2434"/>
        <w:gridCol w:w="2270"/>
      </w:tblGrid>
      <w:tr w:rsidR="00FA59EB" w:rsidRPr="007618DA" w:rsidTr="00664B27">
        <w:trPr>
          <w:trHeight w:val="60"/>
        </w:trPr>
        <w:tc>
          <w:tcPr>
            <w:tcW w:w="4805" w:type="dxa"/>
            <w:tcBorders>
              <w:top w:val="nil"/>
              <w:left w:val="nil"/>
              <w:bottom w:val="nil"/>
              <w:right w:val="nil"/>
            </w:tcBorders>
            <w:shd w:val="clear" w:color="auto" w:fill="auto"/>
            <w:noWrap/>
            <w:vAlign w:val="bottom"/>
            <w:hideMark/>
          </w:tcPr>
          <w:p w:rsidR="00FA59EB" w:rsidRPr="007618DA" w:rsidRDefault="00FA59EB" w:rsidP="003E1F97">
            <w:pPr>
              <w:spacing w:after="0" w:line="240" w:lineRule="auto"/>
              <w:rPr>
                <w:rFonts w:ascii="Calibri" w:eastAsia="Times New Roman" w:hAnsi="Calibri" w:cs="Calibri"/>
                <w:color w:val="000000"/>
              </w:rPr>
            </w:pPr>
          </w:p>
        </w:tc>
        <w:tc>
          <w:tcPr>
            <w:tcW w:w="2434" w:type="dxa"/>
            <w:vMerge w:val="restart"/>
            <w:tcBorders>
              <w:top w:val="single" w:sz="8" w:space="0" w:color="FFFFFF"/>
              <w:left w:val="single" w:sz="8" w:space="0" w:color="FFFFFF"/>
              <w:bottom w:val="single" w:sz="12" w:space="0" w:color="FFFFFF"/>
              <w:right w:val="single" w:sz="8" w:space="0" w:color="FFFFFF"/>
            </w:tcBorders>
            <w:shd w:val="clear" w:color="000000" w:fill="4BACC6"/>
            <w:hideMark/>
          </w:tcPr>
          <w:p w:rsidR="00FA59EB" w:rsidRPr="007618DA" w:rsidRDefault="00FA59EB" w:rsidP="003E1F97">
            <w:pPr>
              <w:spacing w:before="240" w:after="0" w:line="240" w:lineRule="auto"/>
              <w:jc w:val="center"/>
              <w:rPr>
                <w:rFonts w:ascii="Calibri" w:eastAsia="Times New Roman" w:hAnsi="Calibri" w:cs="Calibri"/>
                <w:b/>
                <w:bCs/>
                <w:color w:val="FFFFFF"/>
              </w:rPr>
            </w:pPr>
            <w:r w:rsidRPr="007618DA">
              <w:rPr>
                <w:rFonts w:ascii="Calibri" w:eastAsia="Times New Roman" w:hAnsi="Calibri" w:cs="Calibri"/>
                <w:b/>
                <w:bCs/>
                <w:color w:val="FFFFFF"/>
              </w:rPr>
              <w:t>ENTERTAINMENT</w:t>
            </w:r>
          </w:p>
        </w:tc>
        <w:tc>
          <w:tcPr>
            <w:tcW w:w="2270" w:type="dxa"/>
            <w:vMerge w:val="restart"/>
            <w:tcBorders>
              <w:top w:val="single" w:sz="8" w:space="0" w:color="FFFFFF"/>
              <w:left w:val="single" w:sz="8" w:space="0" w:color="FFFFFF"/>
              <w:bottom w:val="single" w:sz="12" w:space="0" w:color="FFFFFF"/>
              <w:right w:val="single" w:sz="8" w:space="0" w:color="FFFFFF"/>
            </w:tcBorders>
            <w:shd w:val="clear" w:color="000000" w:fill="4BACC6"/>
            <w:hideMark/>
          </w:tcPr>
          <w:p w:rsidR="00FA59EB" w:rsidRPr="007618DA" w:rsidRDefault="00FA59EB" w:rsidP="003E1F97">
            <w:pPr>
              <w:spacing w:before="240" w:after="0" w:line="240" w:lineRule="auto"/>
              <w:jc w:val="center"/>
              <w:rPr>
                <w:rFonts w:ascii="Calibri" w:eastAsia="Times New Roman" w:hAnsi="Calibri" w:cs="Calibri"/>
                <w:b/>
                <w:bCs/>
                <w:color w:val="FFFFFF"/>
              </w:rPr>
            </w:pPr>
            <w:r w:rsidRPr="007618DA">
              <w:rPr>
                <w:rFonts w:ascii="Calibri" w:eastAsia="Times New Roman" w:hAnsi="Calibri" w:cs="Calibri"/>
                <w:b/>
                <w:bCs/>
                <w:color w:val="FFFFFF"/>
              </w:rPr>
              <w:t>RECREATION</w:t>
            </w:r>
          </w:p>
        </w:tc>
      </w:tr>
      <w:tr w:rsidR="00FA59EB" w:rsidRPr="007618DA" w:rsidTr="003E1F97">
        <w:trPr>
          <w:trHeight w:val="426"/>
        </w:trPr>
        <w:tc>
          <w:tcPr>
            <w:tcW w:w="4805" w:type="dxa"/>
            <w:tcBorders>
              <w:top w:val="nil"/>
              <w:left w:val="single" w:sz="8" w:space="0" w:color="FFFFFF"/>
              <w:bottom w:val="nil"/>
              <w:right w:val="single" w:sz="8" w:space="0" w:color="FFFFFF"/>
            </w:tcBorders>
            <w:shd w:val="clear" w:color="000000" w:fill="4BACC6"/>
            <w:hideMark/>
          </w:tcPr>
          <w:p w:rsidR="00FA59EB" w:rsidRDefault="00293E8B" w:rsidP="003E1F97">
            <w:pPr>
              <w:spacing w:after="0" w:line="240" w:lineRule="auto"/>
              <w:rPr>
                <w:rFonts w:ascii="Calibri" w:eastAsia="Times New Roman" w:hAnsi="Calibri" w:cs="Calibri"/>
                <w:b/>
                <w:bCs/>
                <w:color w:val="FFFFFF"/>
              </w:rPr>
            </w:pPr>
            <w:r>
              <w:rPr>
                <w:rFonts w:ascii="Calibri" w:eastAsia="Times New Roman" w:hAnsi="Calibri" w:cs="Calibri"/>
                <w:b/>
                <w:bCs/>
                <w:noProof/>
                <w:color w:val="FFFFFF"/>
                <w:lang w:eastAsia="sl-SI"/>
              </w:rPr>
              <w:pict>
                <v:shape id="Straight Arrow Connector 2" o:spid="_x0000_s1028" type="#_x0000_t32" style="position:absolute;margin-left:-3pt;margin-top:-1.1pt;width:240.45pt;height:49.9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"/>
              </w:pict>
            </w:r>
            <w:r w:rsidR="00FA59EB" w:rsidRPr="007618DA">
              <w:rPr>
                <w:rFonts w:ascii="Calibri" w:eastAsia="Times New Roman" w:hAnsi="Calibri" w:cs="Calibri"/>
                <w:b/>
                <w:bCs/>
                <w:color w:val="FFFFFF"/>
              </w:rPr>
              <w:t> </w:t>
            </w:r>
            <w:r w:rsidR="00FA59EB">
              <w:rPr>
                <w:rFonts w:ascii="Calibri" w:eastAsia="Times New Roman" w:hAnsi="Calibri" w:cs="Calibri"/>
                <w:b/>
                <w:bCs/>
                <w:color w:val="FFFFFF"/>
              </w:rPr>
              <w:t xml:space="preserve">                                                                  PANOGA</w:t>
            </w:r>
          </w:p>
          <w:p w:rsidR="00FA59EB" w:rsidRPr="007618DA" w:rsidRDefault="00FA59EB" w:rsidP="003E1F97">
            <w:pPr>
              <w:spacing w:after="0" w:line="240" w:lineRule="auto"/>
              <w:rPr>
                <w:rFonts w:ascii="Calibri" w:eastAsia="Times New Roman" w:hAnsi="Calibri" w:cs="Calibri"/>
                <w:b/>
                <w:bCs/>
                <w:color w:val="FFFFFF"/>
              </w:rPr>
            </w:pPr>
          </w:p>
        </w:tc>
        <w:tc>
          <w:tcPr>
            <w:tcW w:w="2434" w:type="dxa"/>
            <w:vMerge/>
            <w:tcBorders>
              <w:top w:val="single" w:sz="8" w:space="0" w:color="FFFFFF"/>
              <w:left w:val="single" w:sz="8" w:space="0" w:color="FFFFFF"/>
              <w:bottom w:val="single" w:sz="12" w:space="0" w:color="FFFFFF"/>
              <w:right w:val="single" w:sz="8" w:space="0" w:color="FFFFFF"/>
            </w:tcBorders>
            <w:vAlign w:val="center"/>
            <w:hideMark/>
          </w:tcPr>
          <w:p w:rsidR="00FA59EB" w:rsidRPr="007618DA" w:rsidRDefault="00FA59EB" w:rsidP="003E1F97">
            <w:pPr>
              <w:spacing w:after="0" w:line="240" w:lineRule="auto"/>
              <w:rPr>
                <w:rFonts w:ascii="Calibri" w:eastAsia="Times New Roman" w:hAnsi="Calibri" w:cs="Calibri"/>
                <w:b/>
                <w:bCs/>
                <w:color w:val="FFFFFF"/>
              </w:rPr>
            </w:pPr>
          </w:p>
        </w:tc>
        <w:tc>
          <w:tcPr>
            <w:tcW w:w="2270" w:type="dxa"/>
            <w:vMerge/>
            <w:tcBorders>
              <w:top w:val="single" w:sz="8" w:space="0" w:color="FFFFFF"/>
              <w:left w:val="single" w:sz="8" w:space="0" w:color="FFFFFF"/>
              <w:bottom w:val="single" w:sz="12" w:space="0" w:color="FFFFFF"/>
              <w:right w:val="single" w:sz="8" w:space="0" w:color="FFFFFF"/>
            </w:tcBorders>
            <w:vAlign w:val="center"/>
            <w:hideMark/>
          </w:tcPr>
          <w:p w:rsidR="00FA59EB" w:rsidRPr="007618DA" w:rsidRDefault="00FA59EB" w:rsidP="003E1F97">
            <w:pPr>
              <w:spacing w:after="0" w:line="240" w:lineRule="auto"/>
              <w:rPr>
                <w:rFonts w:ascii="Calibri" w:eastAsia="Times New Roman" w:hAnsi="Calibri" w:cs="Calibri"/>
                <w:b/>
                <w:bCs/>
                <w:color w:val="FFFFFF"/>
              </w:rPr>
            </w:pPr>
          </w:p>
        </w:tc>
      </w:tr>
      <w:tr w:rsidR="00FA59EB" w:rsidRPr="007618DA" w:rsidTr="003E1F97">
        <w:trPr>
          <w:trHeight w:val="421"/>
        </w:trPr>
        <w:tc>
          <w:tcPr>
            <w:tcW w:w="4805" w:type="dxa"/>
            <w:tcBorders>
              <w:top w:val="nil"/>
              <w:left w:val="single" w:sz="8" w:space="0" w:color="FFFFFF"/>
              <w:bottom w:val="single" w:sz="12" w:space="0" w:color="FFFFFF"/>
              <w:right w:val="single" w:sz="8" w:space="0" w:color="FFFFFF"/>
            </w:tcBorders>
            <w:shd w:val="clear" w:color="000000" w:fill="4BACC6"/>
            <w:hideMark/>
          </w:tcPr>
          <w:p w:rsidR="00FA59EB" w:rsidRPr="007618DA" w:rsidRDefault="00FA59EB" w:rsidP="003E1F97">
            <w:pPr>
              <w:spacing w:after="0" w:line="240" w:lineRule="auto"/>
              <w:rPr>
                <w:rFonts w:ascii="Calibri" w:eastAsia="Times New Roman" w:hAnsi="Calibri" w:cs="Calibri"/>
                <w:b/>
                <w:bCs/>
                <w:color w:val="FFFFFF"/>
              </w:rPr>
            </w:pPr>
            <w:r w:rsidRPr="007618DA">
              <w:rPr>
                <w:rFonts w:ascii="Calibri" w:eastAsia="Times New Roman" w:hAnsi="Calibri" w:cs="Calibri"/>
                <w:b/>
                <w:bCs/>
                <w:color w:val="FFFFFF"/>
              </w:rPr>
              <w:t>KAZALNIKI</w:t>
            </w:r>
          </w:p>
        </w:tc>
        <w:tc>
          <w:tcPr>
            <w:tcW w:w="2434" w:type="dxa"/>
            <w:vMerge/>
            <w:tcBorders>
              <w:top w:val="single" w:sz="8" w:space="0" w:color="FFFFFF"/>
              <w:left w:val="single" w:sz="8" w:space="0" w:color="FFFFFF"/>
              <w:bottom w:val="single" w:sz="12" w:space="0" w:color="FFFFFF"/>
              <w:right w:val="single" w:sz="8" w:space="0" w:color="FFFFFF"/>
            </w:tcBorders>
            <w:vAlign w:val="center"/>
            <w:hideMark/>
          </w:tcPr>
          <w:p w:rsidR="00FA59EB" w:rsidRPr="007618DA" w:rsidRDefault="00FA59EB" w:rsidP="003E1F97">
            <w:pPr>
              <w:spacing w:after="0" w:line="240" w:lineRule="auto"/>
              <w:rPr>
                <w:rFonts w:ascii="Calibri" w:eastAsia="Times New Roman" w:hAnsi="Calibri" w:cs="Calibri"/>
                <w:b/>
                <w:bCs/>
                <w:color w:val="FFFFFF"/>
              </w:rPr>
            </w:pPr>
          </w:p>
        </w:tc>
        <w:tc>
          <w:tcPr>
            <w:tcW w:w="2270" w:type="dxa"/>
            <w:vMerge/>
            <w:tcBorders>
              <w:top w:val="single" w:sz="8" w:space="0" w:color="FFFFFF"/>
              <w:left w:val="single" w:sz="8" w:space="0" w:color="FFFFFF"/>
              <w:bottom w:val="single" w:sz="12" w:space="0" w:color="FFFFFF"/>
              <w:right w:val="single" w:sz="8" w:space="0" w:color="FFFFFF"/>
            </w:tcBorders>
            <w:vAlign w:val="center"/>
            <w:hideMark/>
          </w:tcPr>
          <w:p w:rsidR="00FA59EB" w:rsidRPr="007618DA" w:rsidRDefault="00FA59EB" w:rsidP="003E1F97">
            <w:pPr>
              <w:spacing w:after="0" w:line="240" w:lineRule="auto"/>
              <w:rPr>
                <w:rFonts w:ascii="Calibri" w:eastAsia="Times New Roman" w:hAnsi="Calibri" w:cs="Calibri"/>
                <w:b/>
                <w:bCs/>
                <w:color w:val="FFFFFF"/>
              </w:rPr>
            </w:pPr>
          </w:p>
        </w:tc>
      </w:tr>
      <w:tr w:rsidR="00FA59EB" w:rsidRPr="007618DA" w:rsidTr="003E1F97">
        <w:trPr>
          <w:trHeight w:val="440"/>
        </w:trPr>
        <w:tc>
          <w:tcPr>
            <w:tcW w:w="4805" w:type="dxa"/>
            <w:tcBorders>
              <w:top w:val="nil"/>
              <w:left w:val="single" w:sz="8" w:space="0" w:color="FFFFFF"/>
              <w:bottom w:val="nil"/>
              <w:right w:val="single" w:sz="12" w:space="0" w:color="FFFFFF"/>
            </w:tcBorders>
            <w:shd w:val="clear" w:color="000000" w:fill="4BACC6"/>
            <w:hideMark/>
          </w:tcPr>
          <w:p w:rsidR="00FA59EB" w:rsidRPr="007618DA" w:rsidRDefault="00FA59EB" w:rsidP="003E1F97">
            <w:pPr>
              <w:spacing w:after="0" w:line="240" w:lineRule="auto"/>
              <w:rPr>
                <w:rFonts w:ascii="Calibri" w:eastAsia="Times New Roman" w:hAnsi="Calibri" w:cs="Calibri"/>
                <w:b/>
                <w:bCs/>
                <w:color w:val="FFFFFF"/>
              </w:rPr>
            </w:pPr>
            <w:r w:rsidRPr="007618DA">
              <w:rPr>
                <w:rFonts w:ascii="Calibri" w:eastAsia="Times New Roman" w:hAnsi="Calibri" w:cs="Calibri"/>
                <w:b/>
                <w:bCs/>
                <w:color w:val="FFFFFF"/>
              </w:rPr>
              <w:t>EV/EBIT</w:t>
            </w:r>
          </w:p>
        </w:tc>
        <w:tc>
          <w:tcPr>
            <w:tcW w:w="2434" w:type="dxa"/>
            <w:tcBorders>
              <w:top w:val="nil"/>
              <w:left w:val="nil"/>
              <w:bottom w:val="single" w:sz="8" w:space="0" w:color="FFFFFF"/>
              <w:right w:val="single" w:sz="8" w:space="0" w:color="FFFFFF"/>
            </w:tcBorders>
            <w:shd w:val="clear" w:color="000000" w:fill="A5D5E2"/>
            <w:vAlign w:val="center"/>
            <w:hideMark/>
          </w:tcPr>
          <w:p w:rsidR="00FA59EB" w:rsidRPr="007618DA" w:rsidRDefault="00FA59EB" w:rsidP="003E1F97">
            <w:pPr>
              <w:spacing w:after="0" w:line="240" w:lineRule="auto"/>
              <w:jc w:val="center"/>
              <w:rPr>
                <w:rFonts w:ascii="Calibri" w:eastAsia="Times New Roman" w:hAnsi="Calibri" w:cs="Calibri"/>
                <w:color w:val="000000"/>
              </w:rPr>
            </w:pPr>
            <w:r w:rsidRPr="007618DA">
              <w:rPr>
                <w:rFonts w:ascii="Calibri" w:eastAsia="Times New Roman" w:hAnsi="Calibri" w:cs="Calibri"/>
                <w:color w:val="000000"/>
              </w:rPr>
              <w:t>107.332.806 €</w:t>
            </w:r>
          </w:p>
        </w:tc>
        <w:tc>
          <w:tcPr>
            <w:tcW w:w="2270" w:type="dxa"/>
            <w:tcBorders>
              <w:top w:val="nil"/>
              <w:left w:val="nil"/>
              <w:bottom w:val="single" w:sz="8" w:space="0" w:color="FFFFFF"/>
              <w:right w:val="single" w:sz="8" w:space="0" w:color="FFFFFF"/>
            </w:tcBorders>
            <w:shd w:val="clear" w:color="000000" w:fill="A5D5E2"/>
            <w:hideMark/>
          </w:tcPr>
          <w:p w:rsidR="00FA59EB" w:rsidRPr="007618DA" w:rsidRDefault="00FA59EB" w:rsidP="003E1F97">
            <w:pPr>
              <w:spacing w:after="0" w:line="240" w:lineRule="auto"/>
              <w:jc w:val="center"/>
              <w:rPr>
                <w:rFonts w:ascii="Calibri" w:eastAsia="Times New Roman" w:hAnsi="Calibri" w:cs="Calibri"/>
                <w:color w:val="000000"/>
              </w:rPr>
            </w:pPr>
            <w:r w:rsidRPr="007618DA">
              <w:rPr>
                <w:rFonts w:ascii="Calibri" w:eastAsia="Times New Roman" w:hAnsi="Calibri" w:cs="Calibri"/>
                <w:color w:val="000000"/>
              </w:rPr>
              <w:t>140.025.553 €</w:t>
            </w:r>
          </w:p>
        </w:tc>
      </w:tr>
      <w:tr w:rsidR="00FA59EB" w:rsidRPr="007618DA" w:rsidTr="003E1F97">
        <w:trPr>
          <w:trHeight w:val="421"/>
        </w:trPr>
        <w:tc>
          <w:tcPr>
            <w:tcW w:w="4805" w:type="dxa"/>
            <w:tcBorders>
              <w:top w:val="single" w:sz="8" w:space="0" w:color="FFFFFF"/>
              <w:left w:val="single" w:sz="8" w:space="0" w:color="FFFFFF"/>
              <w:bottom w:val="nil"/>
              <w:right w:val="single" w:sz="12" w:space="0" w:color="FFFFFF"/>
            </w:tcBorders>
            <w:shd w:val="clear" w:color="000000" w:fill="4BACC6"/>
            <w:hideMark/>
          </w:tcPr>
          <w:p w:rsidR="00FA59EB" w:rsidRPr="007618DA" w:rsidRDefault="00FA59EB" w:rsidP="003E1F97">
            <w:pPr>
              <w:spacing w:after="0" w:line="240" w:lineRule="auto"/>
              <w:rPr>
                <w:rFonts w:ascii="Calibri" w:eastAsia="Times New Roman" w:hAnsi="Calibri" w:cs="Calibri"/>
                <w:b/>
                <w:bCs/>
                <w:color w:val="FFFFFF"/>
              </w:rPr>
            </w:pPr>
            <w:r w:rsidRPr="007618DA">
              <w:rPr>
                <w:rFonts w:ascii="Calibri" w:eastAsia="Times New Roman" w:hAnsi="Calibri" w:cs="Calibri"/>
                <w:b/>
                <w:bCs/>
                <w:color w:val="FFFFFF"/>
              </w:rPr>
              <w:t>EV/EBIT(1-t)</w:t>
            </w:r>
          </w:p>
        </w:tc>
        <w:tc>
          <w:tcPr>
            <w:tcW w:w="2434" w:type="dxa"/>
            <w:tcBorders>
              <w:top w:val="nil"/>
              <w:left w:val="nil"/>
              <w:bottom w:val="single" w:sz="8" w:space="0" w:color="FFFFFF"/>
              <w:right w:val="single" w:sz="8" w:space="0" w:color="FFFFFF"/>
            </w:tcBorders>
            <w:shd w:val="clear" w:color="000000" w:fill="D2EAF1"/>
            <w:hideMark/>
          </w:tcPr>
          <w:p w:rsidR="00FA59EB" w:rsidRPr="007618DA" w:rsidRDefault="00FA59EB" w:rsidP="003E1F97">
            <w:pPr>
              <w:spacing w:after="0" w:line="240" w:lineRule="auto"/>
              <w:jc w:val="center"/>
              <w:rPr>
                <w:rFonts w:ascii="Calibri" w:eastAsia="Times New Roman" w:hAnsi="Calibri" w:cs="Calibri"/>
                <w:color w:val="000000"/>
              </w:rPr>
            </w:pPr>
            <w:r w:rsidRPr="007618DA">
              <w:rPr>
                <w:rFonts w:ascii="Calibri" w:eastAsia="Times New Roman" w:hAnsi="Calibri" w:cs="Calibri"/>
                <w:color w:val="000000"/>
              </w:rPr>
              <w:t>125.057.311 €</w:t>
            </w:r>
          </w:p>
        </w:tc>
        <w:tc>
          <w:tcPr>
            <w:tcW w:w="2270" w:type="dxa"/>
            <w:tcBorders>
              <w:top w:val="nil"/>
              <w:left w:val="nil"/>
              <w:bottom w:val="single" w:sz="8" w:space="0" w:color="FFFFFF"/>
              <w:right w:val="single" w:sz="8" w:space="0" w:color="FFFFFF"/>
            </w:tcBorders>
            <w:shd w:val="clear" w:color="000000" w:fill="D2EAF1"/>
            <w:hideMark/>
          </w:tcPr>
          <w:p w:rsidR="00FA59EB" w:rsidRPr="007618DA" w:rsidRDefault="00FA59EB" w:rsidP="003E1F97">
            <w:pPr>
              <w:spacing w:after="0" w:line="240" w:lineRule="auto"/>
              <w:jc w:val="center"/>
              <w:rPr>
                <w:rFonts w:ascii="Calibri" w:eastAsia="Times New Roman" w:hAnsi="Calibri" w:cs="Calibri"/>
                <w:color w:val="000000"/>
              </w:rPr>
            </w:pPr>
            <w:r w:rsidRPr="007618DA">
              <w:rPr>
                <w:rFonts w:ascii="Calibri" w:eastAsia="Times New Roman" w:hAnsi="Calibri" w:cs="Calibri"/>
                <w:color w:val="000000"/>
              </w:rPr>
              <w:t>139.220.816 €</w:t>
            </w:r>
          </w:p>
        </w:tc>
      </w:tr>
      <w:tr w:rsidR="00FA59EB" w:rsidRPr="007618DA" w:rsidTr="003E1F97">
        <w:trPr>
          <w:trHeight w:val="421"/>
        </w:trPr>
        <w:tc>
          <w:tcPr>
            <w:tcW w:w="4805" w:type="dxa"/>
            <w:tcBorders>
              <w:top w:val="single" w:sz="8" w:space="0" w:color="FFFFFF"/>
              <w:left w:val="single" w:sz="8" w:space="0" w:color="FFFFFF"/>
              <w:bottom w:val="nil"/>
              <w:right w:val="single" w:sz="12" w:space="0" w:color="FFFFFF"/>
            </w:tcBorders>
            <w:shd w:val="clear" w:color="000000" w:fill="4BACC6"/>
            <w:hideMark/>
          </w:tcPr>
          <w:p w:rsidR="00FA59EB" w:rsidRPr="007618DA" w:rsidRDefault="00FA59EB" w:rsidP="003E1F97">
            <w:pPr>
              <w:spacing w:after="0" w:line="240" w:lineRule="auto"/>
              <w:rPr>
                <w:rFonts w:ascii="Calibri" w:eastAsia="Times New Roman" w:hAnsi="Calibri" w:cs="Calibri"/>
                <w:b/>
                <w:bCs/>
                <w:color w:val="FFFFFF"/>
              </w:rPr>
            </w:pPr>
            <w:r w:rsidRPr="007618DA">
              <w:rPr>
                <w:rFonts w:ascii="Calibri" w:eastAsia="Times New Roman" w:hAnsi="Calibri" w:cs="Calibri"/>
                <w:b/>
                <w:bCs/>
                <w:color w:val="FFFFFF"/>
              </w:rPr>
              <w:t>EV/EBITDA</w:t>
            </w:r>
          </w:p>
        </w:tc>
        <w:tc>
          <w:tcPr>
            <w:tcW w:w="2434" w:type="dxa"/>
            <w:tcBorders>
              <w:top w:val="nil"/>
              <w:left w:val="nil"/>
              <w:bottom w:val="single" w:sz="8" w:space="0" w:color="FFFFFF"/>
              <w:right w:val="single" w:sz="8" w:space="0" w:color="FFFFFF"/>
            </w:tcBorders>
            <w:shd w:val="clear" w:color="000000" w:fill="A5D5E2"/>
            <w:hideMark/>
          </w:tcPr>
          <w:p w:rsidR="00FA59EB" w:rsidRPr="007618DA" w:rsidRDefault="00FA59EB" w:rsidP="003E1F97">
            <w:pPr>
              <w:spacing w:after="0" w:line="240" w:lineRule="auto"/>
              <w:jc w:val="center"/>
              <w:rPr>
                <w:rFonts w:ascii="Calibri" w:eastAsia="Times New Roman" w:hAnsi="Calibri" w:cs="Calibri"/>
                <w:color w:val="000000"/>
              </w:rPr>
            </w:pPr>
            <w:r w:rsidRPr="007618DA">
              <w:rPr>
                <w:rFonts w:ascii="Calibri" w:eastAsia="Times New Roman" w:hAnsi="Calibri" w:cs="Calibri"/>
                <w:color w:val="000000"/>
              </w:rPr>
              <w:t>120.400.463 €</w:t>
            </w:r>
          </w:p>
        </w:tc>
        <w:tc>
          <w:tcPr>
            <w:tcW w:w="2270" w:type="dxa"/>
            <w:tcBorders>
              <w:top w:val="nil"/>
              <w:left w:val="nil"/>
              <w:bottom w:val="single" w:sz="8" w:space="0" w:color="FFFFFF"/>
              <w:right w:val="single" w:sz="8" w:space="0" w:color="FFFFFF"/>
            </w:tcBorders>
            <w:shd w:val="clear" w:color="000000" w:fill="A5D5E2"/>
            <w:hideMark/>
          </w:tcPr>
          <w:p w:rsidR="00FA59EB" w:rsidRPr="007618DA" w:rsidRDefault="00FA59EB" w:rsidP="003E1F97">
            <w:pPr>
              <w:spacing w:after="0" w:line="240" w:lineRule="auto"/>
              <w:jc w:val="center"/>
              <w:rPr>
                <w:rFonts w:ascii="Calibri" w:eastAsia="Times New Roman" w:hAnsi="Calibri" w:cs="Calibri"/>
                <w:color w:val="000000"/>
              </w:rPr>
            </w:pPr>
            <w:r w:rsidRPr="007618DA">
              <w:rPr>
                <w:rFonts w:ascii="Calibri" w:eastAsia="Times New Roman" w:hAnsi="Calibri" w:cs="Calibri"/>
                <w:color w:val="000000"/>
              </w:rPr>
              <w:t>136.593.800 €</w:t>
            </w:r>
          </w:p>
        </w:tc>
      </w:tr>
      <w:tr w:rsidR="00FA59EB" w:rsidRPr="007618DA" w:rsidTr="003E1F97">
        <w:trPr>
          <w:trHeight w:val="421"/>
        </w:trPr>
        <w:tc>
          <w:tcPr>
            <w:tcW w:w="4805" w:type="dxa"/>
            <w:tcBorders>
              <w:top w:val="single" w:sz="8" w:space="0" w:color="FFFFFF"/>
              <w:left w:val="single" w:sz="8" w:space="0" w:color="FFFFFF"/>
              <w:bottom w:val="nil"/>
              <w:right w:val="single" w:sz="12" w:space="0" w:color="FFFFFF"/>
            </w:tcBorders>
            <w:shd w:val="clear" w:color="000000" w:fill="4BACC6"/>
            <w:hideMark/>
          </w:tcPr>
          <w:p w:rsidR="00FA59EB" w:rsidRPr="007618DA" w:rsidRDefault="00FA59EB" w:rsidP="003E1F97">
            <w:pPr>
              <w:spacing w:after="0" w:line="240" w:lineRule="auto"/>
              <w:rPr>
                <w:rFonts w:ascii="Calibri" w:eastAsia="Times New Roman" w:hAnsi="Calibri" w:cs="Calibri"/>
                <w:b/>
                <w:bCs/>
                <w:color w:val="FFFFFF"/>
              </w:rPr>
            </w:pPr>
            <w:r w:rsidRPr="007618DA">
              <w:rPr>
                <w:rFonts w:ascii="Calibri" w:eastAsia="Times New Roman" w:hAnsi="Calibri" w:cs="Calibri"/>
                <w:b/>
                <w:bCs/>
                <w:color w:val="FFFFFF"/>
              </w:rPr>
              <w:t>EV/SALES (</w:t>
            </w:r>
            <w:proofErr w:type="spellStart"/>
            <w:r w:rsidRPr="007618DA">
              <w:rPr>
                <w:rFonts w:ascii="Calibri" w:eastAsia="Times New Roman" w:hAnsi="Calibri" w:cs="Calibri"/>
                <w:b/>
                <w:bCs/>
                <w:color w:val="FFFFFF"/>
              </w:rPr>
              <w:t>Europe</w:t>
            </w:r>
            <w:proofErr w:type="spellEnd"/>
            <w:r w:rsidRPr="007618DA">
              <w:rPr>
                <w:rFonts w:ascii="Calibri" w:eastAsia="Times New Roman" w:hAnsi="Calibri" w:cs="Calibri"/>
                <w:b/>
                <w:bCs/>
                <w:color w:val="FFFFFF"/>
              </w:rPr>
              <w:t>)</w:t>
            </w:r>
          </w:p>
        </w:tc>
        <w:tc>
          <w:tcPr>
            <w:tcW w:w="2434" w:type="dxa"/>
            <w:tcBorders>
              <w:top w:val="nil"/>
              <w:left w:val="nil"/>
              <w:bottom w:val="single" w:sz="8" w:space="0" w:color="FFFFFF"/>
              <w:right w:val="single" w:sz="8" w:space="0" w:color="FFFFFF"/>
            </w:tcBorders>
            <w:shd w:val="clear" w:color="000000" w:fill="D2EAF1"/>
            <w:hideMark/>
          </w:tcPr>
          <w:p w:rsidR="00FA59EB" w:rsidRPr="007618DA" w:rsidRDefault="00FA59EB" w:rsidP="003E1F97">
            <w:pPr>
              <w:spacing w:after="0" w:line="240" w:lineRule="auto"/>
              <w:jc w:val="center"/>
              <w:rPr>
                <w:rFonts w:ascii="Calibri" w:eastAsia="Times New Roman" w:hAnsi="Calibri" w:cs="Calibri"/>
                <w:color w:val="000000"/>
              </w:rPr>
            </w:pPr>
            <w:r w:rsidRPr="007618DA">
              <w:rPr>
                <w:rFonts w:ascii="Calibri" w:eastAsia="Times New Roman" w:hAnsi="Calibri" w:cs="Calibri"/>
                <w:color w:val="000000"/>
              </w:rPr>
              <w:t>189.335.048 €</w:t>
            </w:r>
          </w:p>
        </w:tc>
        <w:tc>
          <w:tcPr>
            <w:tcW w:w="2270" w:type="dxa"/>
            <w:tcBorders>
              <w:top w:val="nil"/>
              <w:left w:val="nil"/>
              <w:bottom w:val="single" w:sz="8" w:space="0" w:color="FFFFFF"/>
              <w:right w:val="single" w:sz="8" w:space="0" w:color="FFFFFF"/>
            </w:tcBorders>
            <w:shd w:val="clear" w:color="000000" w:fill="D2EAF1"/>
            <w:hideMark/>
          </w:tcPr>
          <w:p w:rsidR="00FA59EB" w:rsidRPr="007618DA" w:rsidRDefault="00FA59EB" w:rsidP="003E1F97">
            <w:pPr>
              <w:spacing w:after="0" w:line="240" w:lineRule="auto"/>
              <w:jc w:val="center"/>
              <w:rPr>
                <w:rFonts w:ascii="Calibri" w:eastAsia="Times New Roman" w:hAnsi="Calibri" w:cs="Calibri"/>
                <w:color w:val="000000"/>
              </w:rPr>
            </w:pPr>
            <w:r w:rsidRPr="007618DA">
              <w:rPr>
                <w:rFonts w:ascii="Calibri" w:eastAsia="Times New Roman" w:hAnsi="Calibri" w:cs="Calibri"/>
                <w:color w:val="000000"/>
              </w:rPr>
              <w:t>217.735.305 €</w:t>
            </w:r>
          </w:p>
        </w:tc>
      </w:tr>
      <w:tr w:rsidR="00FA59EB" w:rsidRPr="007618DA" w:rsidTr="003E1F97">
        <w:trPr>
          <w:trHeight w:val="440"/>
        </w:trPr>
        <w:tc>
          <w:tcPr>
            <w:tcW w:w="4805" w:type="dxa"/>
            <w:tcBorders>
              <w:top w:val="single" w:sz="12" w:space="0" w:color="FFFFFF"/>
              <w:left w:val="single" w:sz="8" w:space="0" w:color="FFFFFF"/>
              <w:bottom w:val="single" w:sz="8" w:space="0" w:color="FFFFFF"/>
              <w:right w:val="single" w:sz="8" w:space="0" w:color="FFFFFF"/>
            </w:tcBorders>
            <w:shd w:val="clear" w:color="000000" w:fill="4BACC6"/>
            <w:hideMark/>
          </w:tcPr>
          <w:p w:rsidR="00FA59EB" w:rsidRPr="007618DA" w:rsidRDefault="00FA59EB" w:rsidP="003E1F97">
            <w:pPr>
              <w:spacing w:after="0" w:line="240" w:lineRule="auto"/>
              <w:rPr>
                <w:rFonts w:ascii="Calibri" w:eastAsia="Times New Roman" w:hAnsi="Calibri" w:cs="Calibri"/>
                <w:b/>
                <w:bCs/>
                <w:color w:val="FFFFFF"/>
              </w:rPr>
            </w:pPr>
            <w:r w:rsidRPr="007618DA">
              <w:rPr>
                <w:rFonts w:ascii="Calibri" w:eastAsia="Times New Roman" w:hAnsi="Calibri" w:cs="Calibri"/>
                <w:b/>
                <w:bCs/>
                <w:color w:val="FFFFFF"/>
              </w:rPr>
              <w:t>POVPREČNA VREDNOST PODJETJA</w:t>
            </w:r>
          </w:p>
        </w:tc>
        <w:tc>
          <w:tcPr>
            <w:tcW w:w="2434" w:type="dxa"/>
            <w:tcBorders>
              <w:top w:val="nil"/>
              <w:left w:val="nil"/>
              <w:bottom w:val="single" w:sz="8" w:space="0" w:color="FFFFFF"/>
              <w:right w:val="single" w:sz="8" w:space="0" w:color="FFFFFF"/>
            </w:tcBorders>
            <w:shd w:val="clear" w:color="000000" w:fill="4BACC6"/>
            <w:hideMark/>
          </w:tcPr>
          <w:p w:rsidR="00FA59EB" w:rsidRPr="007618DA" w:rsidRDefault="00FA59EB" w:rsidP="003E1F97">
            <w:pPr>
              <w:spacing w:after="0" w:line="240" w:lineRule="auto"/>
              <w:jc w:val="center"/>
              <w:rPr>
                <w:rFonts w:ascii="Calibri" w:eastAsia="Times New Roman" w:hAnsi="Calibri" w:cs="Calibri"/>
                <w:b/>
                <w:bCs/>
                <w:color w:val="FFFFFF"/>
              </w:rPr>
            </w:pPr>
            <w:r w:rsidRPr="007618DA">
              <w:rPr>
                <w:rFonts w:ascii="Calibri" w:eastAsia="Times New Roman" w:hAnsi="Calibri" w:cs="Calibri"/>
                <w:b/>
                <w:bCs/>
                <w:color w:val="FFFFFF"/>
              </w:rPr>
              <w:t>135.531.406,87 €</w:t>
            </w:r>
          </w:p>
        </w:tc>
        <w:tc>
          <w:tcPr>
            <w:tcW w:w="2270" w:type="dxa"/>
            <w:tcBorders>
              <w:top w:val="nil"/>
              <w:left w:val="nil"/>
              <w:bottom w:val="single" w:sz="8" w:space="0" w:color="FFFFFF"/>
              <w:right w:val="single" w:sz="8" w:space="0" w:color="FFFFFF"/>
            </w:tcBorders>
            <w:shd w:val="clear" w:color="000000" w:fill="4BACC6"/>
            <w:hideMark/>
          </w:tcPr>
          <w:p w:rsidR="00FA59EB" w:rsidRPr="007618DA" w:rsidRDefault="00FA59EB" w:rsidP="003E1F97">
            <w:pPr>
              <w:spacing w:after="0" w:line="240" w:lineRule="auto"/>
              <w:jc w:val="center"/>
              <w:rPr>
                <w:rFonts w:ascii="Calibri" w:eastAsia="Times New Roman" w:hAnsi="Calibri" w:cs="Calibri"/>
                <w:b/>
                <w:bCs/>
                <w:color w:val="FFFFFF"/>
              </w:rPr>
            </w:pPr>
            <w:r w:rsidRPr="007618DA">
              <w:rPr>
                <w:rFonts w:ascii="Calibri" w:eastAsia="Times New Roman" w:hAnsi="Calibri" w:cs="Calibri"/>
                <w:b/>
                <w:bCs/>
                <w:color w:val="FFFFFF"/>
              </w:rPr>
              <w:t>158.393.868,71 €</w:t>
            </w:r>
          </w:p>
        </w:tc>
      </w:tr>
    </w:tbl>
    <w:p w:rsidR="00FA59EB" w:rsidRDefault="00FA59EB" w:rsidP="00FA59EB">
      <w:pPr>
        <w:spacing w:line="360" w:lineRule="auto"/>
        <w:jc w:val="both"/>
      </w:pPr>
    </w:p>
    <w:p w:rsidR="00FA59EB" w:rsidRPr="00664B27" w:rsidRDefault="00FA59EB" w:rsidP="00FA59EB">
      <w:pPr>
        <w:spacing w:line="360" w:lineRule="auto"/>
        <w:jc w:val="both"/>
        <w:rPr>
          <w:rFonts w:ascii="Times New Roman" w:hAnsi="Times New Roman" w:cs="Times New Roman"/>
        </w:rPr>
      </w:pPr>
      <w:r w:rsidRPr="00664B27">
        <w:rPr>
          <w:rFonts w:ascii="Times New Roman" w:hAnsi="Times New Roman" w:cs="Times New Roman"/>
          <w:sz w:val="24"/>
        </w:rPr>
        <w:t xml:space="preserve">Pri vpogledu v podatke, ki so za območje Evrope podani na bazi </w:t>
      </w:r>
      <w:proofErr w:type="spellStart"/>
      <w:r w:rsidRPr="00664B27">
        <w:rPr>
          <w:rFonts w:ascii="Times New Roman" w:hAnsi="Times New Roman" w:cs="Times New Roman"/>
          <w:sz w:val="24"/>
        </w:rPr>
        <w:t>Demodoran</w:t>
      </w:r>
      <w:proofErr w:type="spellEnd"/>
      <w:r w:rsidRPr="00664B27">
        <w:rPr>
          <w:rFonts w:ascii="Times New Roman" w:hAnsi="Times New Roman" w:cs="Times New Roman"/>
          <w:sz w:val="24"/>
        </w:rPr>
        <w:t xml:space="preserve">, smo zasledili tudi nekatere kazalce, ki so izračunani za panogo luksuznih proizvodov. Prav v to panogo naj bi tudi najbolj sodilo našo podjetje zato je v spodnji tabeli izračun vrednosti na podlagi kazalnikov, ki so bili na voljo za to panogo. Teh podatkov v izračunih sicer ne bomo uporabili, saj bi lahko prišlo do neprimerljivosti podatkov, ker smo v vseh predhodnih </w:t>
      </w:r>
      <w:r w:rsidRPr="00664B27">
        <w:rPr>
          <w:rFonts w:ascii="Times New Roman" w:hAnsi="Times New Roman" w:cs="Times New Roman"/>
          <w:sz w:val="24"/>
        </w:rPr>
        <w:lastRenderedPageBreak/>
        <w:t xml:space="preserve">izračunih uporabili panogi rekreacija in  zabava. Prikazali smo jih le za boljšo orientacijo, da smo pri izbiri pravilne povprečne vrednosti imeli boljšo orientacijo ali moramo upoštevati čim manjšo ali </w:t>
      </w:r>
      <w:r w:rsidR="00142300" w:rsidRPr="00664B27">
        <w:rPr>
          <w:rFonts w:ascii="Times New Roman" w:hAnsi="Times New Roman" w:cs="Times New Roman"/>
          <w:sz w:val="24"/>
        </w:rPr>
        <w:t>čim</w:t>
      </w:r>
      <w:r w:rsidR="00142300">
        <w:rPr>
          <w:rFonts w:ascii="Times New Roman" w:hAnsi="Times New Roman" w:cs="Times New Roman"/>
          <w:sz w:val="24"/>
        </w:rPr>
        <w:t xml:space="preserve"> </w:t>
      </w:r>
      <w:r w:rsidR="00142300" w:rsidRPr="00664B27">
        <w:rPr>
          <w:rFonts w:ascii="Times New Roman" w:hAnsi="Times New Roman" w:cs="Times New Roman"/>
          <w:sz w:val="24"/>
        </w:rPr>
        <w:t>večjo</w:t>
      </w:r>
      <w:r w:rsidRPr="00664B27">
        <w:rPr>
          <w:rFonts w:ascii="Times New Roman" w:hAnsi="Times New Roman" w:cs="Times New Roman"/>
          <w:sz w:val="24"/>
        </w:rPr>
        <w:t>.</w:t>
      </w:r>
    </w:p>
    <w:p w:rsidR="00FA59EB" w:rsidRPr="00664B27" w:rsidRDefault="00664B27" w:rsidP="00664B27">
      <w:pPr>
        <w:pStyle w:val="Caption"/>
        <w:keepNext/>
        <w:spacing w:after="120"/>
        <w:jc w:val="center"/>
        <w:rPr>
          <w:b w:val="0"/>
          <w:color w:val="auto"/>
          <w:sz w:val="20"/>
        </w:rPr>
      </w:pPr>
      <w:bookmarkStart w:id="32" w:name="_Toc327382776"/>
      <w:r w:rsidRPr="00664B27">
        <w:rPr>
          <w:b w:val="0"/>
          <w:color w:val="auto"/>
          <w:sz w:val="20"/>
        </w:rPr>
        <w:t xml:space="preserve">Tabela </w:t>
      </w:r>
      <w:r w:rsidR="005A3C60" w:rsidRPr="00664B27">
        <w:rPr>
          <w:b w:val="0"/>
          <w:color w:val="auto"/>
          <w:sz w:val="20"/>
        </w:rPr>
        <w:fldChar w:fldCharType="begin"/>
      </w:r>
      <w:r w:rsidRPr="00664B27">
        <w:rPr>
          <w:b w:val="0"/>
          <w:color w:val="auto"/>
          <w:sz w:val="20"/>
        </w:rPr>
        <w:instrText xml:space="preserve"> SEQ Tabela \* ARABIC </w:instrText>
      </w:r>
      <w:r w:rsidR="005A3C60" w:rsidRPr="00664B27">
        <w:rPr>
          <w:b w:val="0"/>
          <w:color w:val="auto"/>
          <w:sz w:val="20"/>
        </w:rPr>
        <w:fldChar w:fldCharType="separate"/>
      </w:r>
      <w:r>
        <w:rPr>
          <w:b w:val="0"/>
          <w:noProof/>
          <w:color w:val="auto"/>
          <w:sz w:val="20"/>
        </w:rPr>
        <w:t>14</w:t>
      </w:r>
      <w:r w:rsidR="005A3C60" w:rsidRPr="00664B27">
        <w:rPr>
          <w:b w:val="0"/>
          <w:color w:val="auto"/>
          <w:sz w:val="20"/>
        </w:rPr>
        <w:fldChar w:fldCharType="end"/>
      </w:r>
      <w:r w:rsidRPr="00664B27">
        <w:rPr>
          <w:b w:val="0"/>
          <w:color w:val="auto"/>
          <w:sz w:val="20"/>
        </w:rPr>
        <w:t xml:space="preserve">: Vrednosti </w:t>
      </w:r>
      <w:proofErr w:type="spellStart"/>
      <w:r w:rsidRPr="00664B27">
        <w:rPr>
          <w:b w:val="0"/>
          <w:color w:val="auto"/>
          <w:sz w:val="20"/>
        </w:rPr>
        <w:t>multiplikatorjev</w:t>
      </w:r>
      <w:proofErr w:type="spellEnd"/>
      <w:r w:rsidRPr="00664B27">
        <w:rPr>
          <w:b w:val="0"/>
          <w:color w:val="auto"/>
          <w:sz w:val="20"/>
        </w:rPr>
        <w:t xml:space="preserve"> in podjetja za panogo luksuznih proizvodov</w:t>
      </w:r>
      <w:bookmarkEnd w:id="32"/>
    </w:p>
    <w:tbl>
      <w:tblPr>
        <w:tblStyle w:val="MediumGrid3-Accent5"/>
        <w:tblW w:w="0" w:type="auto"/>
        <w:tblLook w:val="04A0" w:firstRow="1" w:lastRow="0" w:firstColumn="1" w:lastColumn="0" w:noHBand="0" w:noVBand="1"/>
      </w:tblPr>
      <w:tblGrid>
        <w:gridCol w:w="3070"/>
        <w:gridCol w:w="3071"/>
        <w:gridCol w:w="3071"/>
      </w:tblGrid>
      <w:tr w:rsidR="00FA59EB" w:rsidTr="003E1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A59EB" w:rsidRDefault="00293E8B" w:rsidP="003E1F97">
            <w:pPr>
              <w:spacing w:line="360" w:lineRule="auto"/>
              <w:jc w:val="both"/>
            </w:pPr>
            <w:r>
              <w:rPr>
                <w:noProof/>
                <w:lang w:eastAsia="en-US"/>
              </w:rPr>
              <w:pict>
                <v:shape id="Straight Arrow Connector 3" o:spid="_x0000_s1027" type="#_x0000_t32" style="position:absolute;left:0;text-align:left;margin-left:-5.1pt;margin-top:2.55pt;width:151.5pt;height:56.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"/>
              </w:pict>
            </w:r>
            <w:r w:rsidR="00FA59EB">
              <w:t xml:space="preserve">         Panoga – </w:t>
            </w:r>
            <w:proofErr w:type="spellStart"/>
            <w:r w:rsidR="00FA59EB">
              <w:t>Leisure</w:t>
            </w:r>
            <w:proofErr w:type="spellEnd"/>
            <w:r w:rsidR="00FA59EB">
              <w:t xml:space="preserve"> </w:t>
            </w:r>
            <w:proofErr w:type="spellStart"/>
            <w:r w:rsidR="00FA59EB">
              <w:t>products</w:t>
            </w:r>
            <w:proofErr w:type="spellEnd"/>
          </w:p>
          <w:p w:rsidR="00FA59EB" w:rsidRDefault="00FA59EB" w:rsidP="003E1F97">
            <w:pPr>
              <w:spacing w:line="360" w:lineRule="auto"/>
              <w:jc w:val="both"/>
            </w:pPr>
          </w:p>
          <w:p w:rsidR="00FA59EB" w:rsidRDefault="00FA59EB" w:rsidP="003E1F97">
            <w:pPr>
              <w:spacing w:line="360" w:lineRule="auto"/>
              <w:jc w:val="both"/>
            </w:pPr>
            <w:proofErr w:type="spellStart"/>
            <w:r>
              <w:t>Multiplikator</w:t>
            </w:r>
            <w:proofErr w:type="spellEnd"/>
          </w:p>
        </w:tc>
        <w:tc>
          <w:tcPr>
            <w:tcW w:w="3071" w:type="dxa"/>
          </w:tcPr>
          <w:p w:rsidR="00FA59EB" w:rsidRDefault="00FA59EB" w:rsidP="003E1F97">
            <w:pPr>
              <w:spacing w:before="240" w:line="360" w:lineRule="auto"/>
              <w:jc w:val="center"/>
              <w:cnfStyle w:val="100000000000" w:firstRow="1" w:lastRow="0" w:firstColumn="0" w:lastColumn="0" w:oddVBand="0" w:evenVBand="0" w:oddHBand="0" w:evenHBand="0" w:firstRowFirstColumn="0" w:firstRowLastColumn="0" w:lastRowFirstColumn="0" w:lastRowLastColumn="0"/>
            </w:pPr>
            <w:r>
              <w:t xml:space="preserve">Vrednost </w:t>
            </w:r>
            <w:proofErr w:type="spellStart"/>
            <w:r>
              <w:t>multiplikatorja</w:t>
            </w:r>
            <w:proofErr w:type="spellEnd"/>
          </w:p>
        </w:tc>
        <w:tc>
          <w:tcPr>
            <w:tcW w:w="3071" w:type="dxa"/>
          </w:tcPr>
          <w:p w:rsidR="00FA59EB" w:rsidRDefault="00FA59EB" w:rsidP="003E1F97">
            <w:pPr>
              <w:spacing w:before="240" w:line="360" w:lineRule="auto"/>
              <w:jc w:val="center"/>
              <w:cnfStyle w:val="100000000000" w:firstRow="1" w:lastRow="0" w:firstColumn="0" w:lastColumn="0" w:oddVBand="0" w:evenVBand="0" w:oddHBand="0" w:evenHBand="0" w:firstRowFirstColumn="0" w:firstRowLastColumn="0" w:lastRowFirstColumn="0" w:lastRowLastColumn="0"/>
            </w:pPr>
            <w:r>
              <w:t xml:space="preserve">Vrednost podjetja Adria </w:t>
            </w:r>
            <w:proofErr w:type="spellStart"/>
            <w:r>
              <w:t>Mobil</w:t>
            </w:r>
            <w:proofErr w:type="spellEnd"/>
          </w:p>
        </w:tc>
      </w:tr>
      <w:tr w:rsidR="00FA59EB" w:rsidTr="003E1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A59EB" w:rsidRDefault="00FA59EB" w:rsidP="003E1F97">
            <w:pPr>
              <w:spacing w:line="360" w:lineRule="auto"/>
              <w:jc w:val="both"/>
            </w:pPr>
            <w:r>
              <w:t>EV/EBITDA</w:t>
            </w:r>
          </w:p>
        </w:tc>
        <w:tc>
          <w:tcPr>
            <w:tcW w:w="3071" w:type="dxa"/>
          </w:tcPr>
          <w:p w:rsidR="00FA59EB" w:rsidRDefault="00FA59EB" w:rsidP="003E1F97">
            <w:pPr>
              <w:spacing w:line="360" w:lineRule="auto"/>
              <w:jc w:val="center"/>
              <w:cnfStyle w:val="000000100000" w:firstRow="0" w:lastRow="0" w:firstColumn="0" w:lastColumn="0" w:oddVBand="0" w:evenVBand="0" w:oddHBand="1" w:evenHBand="0" w:firstRowFirstColumn="0" w:firstRowLastColumn="0" w:lastRowFirstColumn="0" w:lastRowLastColumn="0"/>
            </w:pPr>
            <w:r>
              <w:t>5,42</w:t>
            </w:r>
          </w:p>
        </w:tc>
        <w:tc>
          <w:tcPr>
            <w:tcW w:w="3071" w:type="dxa"/>
          </w:tcPr>
          <w:p w:rsidR="00FA59EB" w:rsidRDefault="00FA59EB" w:rsidP="003E1F97">
            <w:pPr>
              <w:spacing w:line="360" w:lineRule="auto"/>
              <w:jc w:val="center"/>
              <w:cnfStyle w:val="000000100000" w:firstRow="0" w:lastRow="0" w:firstColumn="0" w:lastColumn="0" w:oddVBand="0" w:evenVBand="0" w:oddHBand="1" w:evenHBand="0" w:firstRowFirstColumn="0" w:firstRowLastColumn="0" w:lastRowFirstColumn="0" w:lastRowLastColumn="0"/>
            </w:pPr>
            <w:r>
              <w:t>81.266.564,02€</w:t>
            </w:r>
          </w:p>
        </w:tc>
      </w:tr>
      <w:tr w:rsidR="00FA59EB" w:rsidTr="003E1F97">
        <w:tc>
          <w:tcPr>
            <w:cnfStyle w:val="001000000000" w:firstRow="0" w:lastRow="0" w:firstColumn="1" w:lastColumn="0" w:oddVBand="0" w:evenVBand="0" w:oddHBand="0" w:evenHBand="0" w:firstRowFirstColumn="0" w:firstRowLastColumn="0" w:lastRowFirstColumn="0" w:lastRowLastColumn="0"/>
            <w:tcW w:w="3070" w:type="dxa"/>
          </w:tcPr>
          <w:p w:rsidR="00FA59EB" w:rsidRDefault="00FA59EB" w:rsidP="003E1F97">
            <w:pPr>
              <w:spacing w:line="360" w:lineRule="auto"/>
              <w:jc w:val="both"/>
            </w:pPr>
            <w:r>
              <w:t>EV/EBIT</w:t>
            </w:r>
          </w:p>
        </w:tc>
        <w:tc>
          <w:tcPr>
            <w:tcW w:w="3071" w:type="dxa"/>
          </w:tcPr>
          <w:p w:rsidR="00FA59EB" w:rsidRDefault="00FA59EB" w:rsidP="003E1F97">
            <w:pPr>
              <w:spacing w:line="360" w:lineRule="auto"/>
              <w:jc w:val="center"/>
              <w:cnfStyle w:val="000000000000" w:firstRow="0" w:lastRow="0" w:firstColumn="0" w:lastColumn="0" w:oddVBand="0" w:evenVBand="0" w:oddHBand="0" w:evenHBand="0" w:firstRowFirstColumn="0" w:firstRowLastColumn="0" w:lastRowFirstColumn="0" w:lastRowLastColumn="0"/>
            </w:pPr>
            <w:r>
              <w:t>7,26</w:t>
            </w:r>
          </w:p>
        </w:tc>
        <w:tc>
          <w:tcPr>
            <w:tcW w:w="3071" w:type="dxa"/>
          </w:tcPr>
          <w:p w:rsidR="00FA59EB" w:rsidRDefault="00FA59EB" w:rsidP="003E1F97">
            <w:pPr>
              <w:spacing w:line="360" w:lineRule="auto"/>
              <w:jc w:val="center"/>
              <w:cnfStyle w:val="000000000000" w:firstRow="0" w:lastRow="0" w:firstColumn="0" w:lastColumn="0" w:oddVBand="0" w:evenVBand="0" w:oddHBand="0" w:evenHBand="0" w:firstRowFirstColumn="0" w:firstRowLastColumn="0" w:lastRowFirstColumn="0" w:lastRowLastColumn="0"/>
            </w:pPr>
            <w:r>
              <w:t>73.030.568,82€</w:t>
            </w:r>
          </w:p>
        </w:tc>
      </w:tr>
    </w:tbl>
    <w:p w:rsidR="00FA59EB" w:rsidRDefault="00FA59EB" w:rsidP="00FA59EB"/>
    <w:p w:rsidR="00FA59EB" w:rsidRPr="00664B27" w:rsidRDefault="00FA59EB" w:rsidP="00FA59EB">
      <w:pPr>
        <w:spacing w:line="360" w:lineRule="auto"/>
        <w:jc w:val="both"/>
        <w:rPr>
          <w:rFonts w:ascii="Times New Roman" w:hAnsi="Times New Roman" w:cs="Times New Roman"/>
          <w:sz w:val="24"/>
        </w:rPr>
      </w:pPr>
      <w:r w:rsidRPr="00664B27">
        <w:rPr>
          <w:rFonts w:ascii="Times New Roman" w:hAnsi="Times New Roman" w:cs="Times New Roman"/>
          <w:sz w:val="24"/>
        </w:rPr>
        <w:t xml:space="preserve">Glede na to, da sta vrednosti podjetja izračunani na podlagi </w:t>
      </w:r>
      <w:proofErr w:type="spellStart"/>
      <w:r w:rsidRPr="00664B27">
        <w:rPr>
          <w:rFonts w:ascii="Times New Roman" w:hAnsi="Times New Roman" w:cs="Times New Roman"/>
          <w:sz w:val="24"/>
        </w:rPr>
        <w:t>multiplikatorjev</w:t>
      </w:r>
      <w:proofErr w:type="spellEnd"/>
      <w:r w:rsidRPr="00664B27">
        <w:rPr>
          <w:rFonts w:ascii="Times New Roman" w:hAnsi="Times New Roman" w:cs="Times New Roman"/>
          <w:sz w:val="24"/>
        </w:rPr>
        <w:t xml:space="preserve"> za panogo luksuznih proizvodov manjši od večine izračunanih vrednosti, nam je to dalo nek znak, da moramo stremeti k manjšim povprečjem in ne k večjim. Glede na vse izračune, ki smo jih naredili smo se odločili, da za končno vrednost podjetja izračunanega na podlagi  </w:t>
      </w:r>
      <w:proofErr w:type="spellStart"/>
      <w:r w:rsidRPr="00664B27">
        <w:rPr>
          <w:rFonts w:ascii="Times New Roman" w:hAnsi="Times New Roman" w:cs="Times New Roman"/>
          <w:sz w:val="24"/>
        </w:rPr>
        <w:t>multiplikatorjev</w:t>
      </w:r>
      <w:proofErr w:type="spellEnd"/>
      <w:r w:rsidRPr="00664B27">
        <w:rPr>
          <w:rFonts w:ascii="Times New Roman" w:hAnsi="Times New Roman" w:cs="Times New Roman"/>
          <w:sz w:val="24"/>
        </w:rPr>
        <w:t xml:space="preserve"> vzamemo naslednji vrednosti:</w:t>
      </w:r>
    </w:p>
    <w:p w:rsidR="00FA59EB" w:rsidRPr="00664B27" w:rsidRDefault="00FA59EB" w:rsidP="00FA59EB">
      <w:pPr>
        <w:pStyle w:val="ListParagraph"/>
        <w:numPr>
          <w:ilvl w:val="0"/>
          <w:numId w:val="6"/>
        </w:numPr>
        <w:spacing w:line="360" w:lineRule="auto"/>
        <w:jc w:val="both"/>
        <w:rPr>
          <w:rFonts w:ascii="Times New Roman" w:hAnsi="Times New Roman" w:cs="Times New Roman"/>
          <w:sz w:val="24"/>
        </w:rPr>
      </w:pPr>
      <w:r w:rsidRPr="00664B27">
        <w:rPr>
          <w:rFonts w:ascii="Times New Roman" w:eastAsia="Times New Roman" w:hAnsi="Times New Roman" w:cs="Times New Roman"/>
          <w:b/>
          <w:bCs/>
          <w:sz w:val="24"/>
        </w:rPr>
        <w:t>135.531.406,87 € - za panogo zabava</w:t>
      </w:r>
    </w:p>
    <w:p w:rsidR="00FA59EB" w:rsidRPr="00664B27" w:rsidRDefault="00FA59EB" w:rsidP="00FA59EB">
      <w:pPr>
        <w:pStyle w:val="ListParagraph"/>
        <w:numPr>
          <w:ilvl w:val="0"/>
          <w:numId w:val="6"/>
        </w:numPr>
        <w:spacing w:line="360" w:lineRule="auto"/>
        <w:jc w:val="both"/>
        <w:rPr>
          <w:rFonts w:ascii="Times New Roman" w:hAnsi="Times New Roman" w:cs="Times New Roman"/>
          <w:sz w:val="24"/>
        </w:rPr>
      </w:pPr>
      <w:r w:rsidRPr="00664B27">
        <w:rPr>
          <w:rFonts w:ascii="Times New Roman" w:eastAsia="Times New Roman" w:hAnsi="Times New Roman" w:cs="Times New Roman"/>
          <w:b/>
          <w:bCs/>
          <w:sz w:val="24"/>
        </w:rPr>
        <w:t>158.393.868,71 € - za panogo rekreacija</w:t>
      </w:r>
    </w:p>
    <w:p w:rsidR="00FA59EB" w:rsidRPr="00664B27" w:rsidRDefault="00FA59EB" w:rsidP="00FA59EB">
      <w:pPr>
        <w:spacing w:line="360" w:lineRule="auto"/>
        <w:jc w:val="both"/>
        <w:rPr>
          <w:rFonts w:ascii="Times New Roman" w:hAnsi="Times New Roman" w:cs="Times New Roman"/>
          <w:sz w:val="24"/>
        </w:rPr>
      </w:pPr>
      <w:r w:rsidRPr="00664B27">
        <w:rPr>
          <w:rFonts w:ascii="Times New Roman" w:hAnsi="Times New Roman" w:cs="Times New Roman"/>
          <w:sz w:val="24"/>
        </w:rPr>
        <w:t>Ti dve vrednosti smo izračunali v tabeli, ki upošteva spremenjene kazalce EV/SALES. Na koncu smo to tabelo preračunali, da smo dobili povprečni vrednosti lastniškega kapitala. Preračunali smo jo tako, da smo vsem vrednostim v tabeli prišteli vrednosti, ki so prikazane v spodnji tabeli.</w:t>
      </w:r>
    </w:p>
    <w:tbl>
      <w:tblPr>
        <w:tblW w:w="5920" w:type="dxa"/>
        <w:tblInd w:w="1573" w:type="dxa"/>
        <w:tblCellMar>
          <w:left w:w="70" w:type="dxa"/>
          <w:right w:w="70" w:type="dxa"/>
        </w:tblCellMar>
        <w:tblLook w:val="04A0" w:firstRow="1" w:lastRow="0" w:firstColumn="1" w:lastColumn="0" w:noHBand="0" w:noVBand="1"/>
      </w:tblPr>
      <w:tblGrid>
        <w:gridCol w:w="3900"/>
        <w:gridCol w:w="2020"/>
      </w:tblGrid>
      <w:tr w:rsidR="00FA59EB" w:rsidRPr="00807DC5" w:rsidTr="003E1F97">
        <w:trPr>
          <w:trHeight w:val="300"/>
        </w:trPr>
        <w:tc>
          <w:tcPr>
            <w:tcW w:w="3900" w:type="dxa"/>
            <w:tcBorders>
              <w:top w:val="single" w:sz="4" w:space="0" w:color="000000"/>
              <w:left w:val="single" w:sz="4" w:space="0" w:color="auto"/>
              <w:bottom w:val="nil"/>
              <w:right w:val="nil"/>
            </w:tcBorders>
            <w:shd w:val="clear" w:color="000000" w:fill="4BACC6"/>
            <w:noWrap/>
            <w:vAlign w:val="bottom"/>
            <w:hideMark/>
          </w:tcPr>
          <w:p w:rsidR="00FA59EB" w:rsidRPr="00807DC5" w:rsidRDefault="00FA59EB" w:rsidP="003E1F97">
            <w:pPr>
              <w:spacing w:after="0" w:line="240" w:lineRule="auto"/>
              <w:rPr>
                <w:rFonts w:ascii="Calibri" w:eastAsia="Times New Roman" w:hAnsi="Calibri" w:cs="Times New Roman"/>
                <w:color w:val="FFFFFF"/>
              </w:rPr>
            </w:pPr>
            <w:r w:rsidRPr="00807DC5">
              <w:rPr>
                <w:rFonts w:ascii="Calibri" w:eastAsia="Times New Roman" w:hAnsi="Calibri" w:cs="Times New Roman"/>
                <w:color w:val="FFFFFF"/>
              </w:rPr>
              <w:t>+ poštena vrednost FN</w:t>
            </w:r>
          </w:p>
        </w:tc>
        <w:tc>
          <w:tcPr>
            <w:tcW w:w="2020" w:type="dxa"/>
            <w:tcBorders>
              <w:top w:val="single" w:sz="4" w:space="0" w:color="000000"/>
              <w:left w:val="single" w:sz="4" w:space="0" w:color="auto"/>
              <w:bottom w:val="nil"/>
              <w:right w:val="single" w:sz="4" w:space="0" w:color="auto"/>
            </w:tcBorders>
            <w:shd w:val="clear" w:color="000000" w:fill="DBEEF3"/>
            <w:noWrap/>
            <w:vAlign w:val="bottom"/>
            <w:hideMark/>
          </w:tcPr>
          <w:p w:rsidR="00FA59EB" w:rsidRPr="00807DC5" w:rsidRDefault="00FA59EB" w:rsidP="003E1F97">
            <w:pPr>
              <w:spacing w:after="0" w:line="240" w:lineRule="auto"/>
              <w:jc w:val="center"/>
              <w:rPr>
                <w:rFonts w:ascii="Calibri" w:eastAsia="Times New Roman" w:hAnsi="Calibri" w:cs="Times New Roman"/>
                <w:color w:val="000000"/>
              </w:rPr>
            </w:pPr>
            <w:r w:rsidRPr="00807DC5">
              <w:rPr>
                <w:rFonts w:ascii="Calibri" w:eastAsia="Times New Roman" w:hAnsi="Calibri" w:cs="Times New Roman"/>
                <w:color w:val="000000"/>
              </w:rPr>
              <w:t>7.371.941,00 €</w:t>
            </w:r>
          </w:p>
        </w:tc>
      </w:tr>
      <w:tr w:rsidR="00FA59EB" w:rsidRPr="00807DC5" w:rsidTr="003E1F97">
        <w:trPr>
          <w:trHeight w:val="300"/>
        </w:trPr>
        <w:tc>
          <w:tcPr>
            <w:tcW w:w="3900" w:type="dxa"/>
            <w:tcBorders>
              <w:top w:val="single" w:sz="4" w:space="0" w:color="000000"/>
              <w:left w:val="single" w:sz="4" w:space="0" w:color="auto"/>
              <w:bottom w:val="nil"/>
              <w:right w:val="nil"/>
            </w:tcBorders>
            <w:shd w:val="clear" w:color="000000" w:fill="4BACC6"/>
            <w:noWrap/>
            <w:vAlign w:val="bottom"/>
            <w:hideMark/>
          </w:tcPr>
          <w:p w:rsidR="00FA59EB" w:rsidRPr="00807DC5" w:rsidRDefault="00FA59EB" w:rsidP="003E1F97">
            <w:pPr>
              <w:spacing w:after="0" w:line="240" w:lineRule="auto"/>
              <w:rPr>
                <w:rFonts w:ascii="Calibri" w:eastAsia="Times New Roman" w:hAnsi="Calibri" w:cs="Times New Roman"/>
                <w:color w:val="FFFFFF"/>
              </w:rPr>
            </w:pPr>
            <w:r w:rsidRPr="00807DC5">
              <w:rPr>
                <w:rFonts w:ascii="Calibri" w:eastAsia="Times New Roman" w:hAnsi="Calibri" w:cs="Times New Roman"/>
                <w:color w:val="FFFFFF"/>
              </w:rPr>
              <w:t xml:space="preserve"> + denar</w:t>
            </w:r>
          </w:p>
        </w:tc>
        <w:tc>
          <w:tcPr>
            <w:tcW w:w="2020" w:type="dxa"/>
            <w:tcBorders>
              <w:top w:val="single" w:sz="4" w:space="0" w:color="000000"/>
              <w:left w:val="single" w:sz="4" w:space="0" w:color="auto"/>
              <w:bottom w:val="nil"/>
              <w:right w:val="single" w:sz="4" w:space="0" w:color="auto"/>
            </w:tcBorders>
            <w:shd w:val="clear" w:color="000000" w:fill="B6DDE8"/>
            <w:noWrap/>
            <w:vAlign w:val="bottom"/>
            <w:hideMark/>
          </w:tcPr>
          <w:p w:rsidR="00FA59EB" w:rsidRPr="00807DC5" w:rsidRDefault="00FA59EB" w:rsidP="003E1F97">
            <w:pPr>
              <w:spacing w:after="0" w:line="240" w:lineRule="auto"/>
              <w:jc w:val="center"/>
              <w:rPr>
                <w:rFonts w:ascii="Calibri" w:eastAsia="Times New Roman" w:hAnsi="Calibri" w:cs="Times New Roman"/>
                <w:color w:val="000000"/>
              </w:rPr>
            </w:pPr>
            <w:r w:rsidRPr="00807DC5">
              <w:rPr>
                <w:rFonts w:ascii="Calibri" w:eastAsia="Times New Roman" w:hAnsi="Calibri" w:cs="Times New Roman"/>
                <w:color w:val="000000"/>
              </w:rPr>
              <w:t>4.069.030,00 €</w:t>
            </w:r>
          </w:p>
        </w:tc>
      </w:tr>
      <w:tr w:rsidR="00FA59EB" w:rsidRPr="00807DC5" w:rsidTr="003E1F97">
        <w:trPr>
          <w:trHeight w:val="300"/>
        </w:trPr>
        <w:tc>
          <w:tcPr>
            <w:tcW w:w="3900" w:type="dxa"/>
            <w:tcBorders>
              <w:top w:val="single" w:sz="4" w:space="0" w:color="000000"/>
              <w:left w:val="single" w:sz="4" w:space="0" w:color="auto"/>
              <w:bottom w:val="single" w:sz="4" w:space="0" w:color="000000"/>
              <w:right w:val="nil"/>
            </w:tcBorders>
            <w:shd w:val="clear" w:color="000000" w:fill="4BACC6"/>
            <w:noWrap/>
            <w:vAlign w:val="bottom"/>
            <w:hideMark/>
          </w:tcPr>
          <w:p w:rsidR="00FA59EB" w:rsidRPr="00807DC5" w:rsidRDefault="00FA59EB" w:rsidP="003E1F97">
            <w:pPr>
              <w:spacing w:after="0" w:line="240" w:lineRule="auto"/>
              <w:rPr>
                <w:rFonts w:ascii="Calibri" w:eastAsia="Times New Roman" w:hAnsi="Calibri" w:cs="Times New Roman"/>
                <w:color w:val="FFFFFF"/>
              </w:rPr>
            </w:pPr>
            <w:r w:rsidRPr="00807DC5">
              <w:rPr>
                <w:rFonts w:ascii="Calibri" w:eastAsia="Times New Roman" w:hAnsi="Calibri" w:cs="Times New Roman"/>
                <w:color w:val="FFFFFF"/>
              </w:rPr>
              <w:t xml:space="preserve"> - Dolg. In </w:t>
            </w:r>
            <w:proofErr w:type="spellStart"/>
            <w:r w:rsidRPr="00807DC5">
              <w:rPr>
                <w:rFonts w:ascii="Calibri" w:eastAsia="Times New Roman" w:hAnsi="Calibri" w:cs="Times New Roman"/>
                <w:color w:val="FFFFFF"/>
              </w:rPr>
              <w:t>kratk</w:t>
            </w:r>
            <w:proofErr w:type="spellEnd"/>
            <w:r w:rsidRPr="00807DC5">
              <w:rPr>
                <w:rFonts w:ascii="Calibri" w:eastAsia="Times New Roman" w:hAnsi="Calibri" w:cs="Times New Roman"/>
                <w:color w:val="FFFFFF"/>
              </w:rPr>
              <w:t>. Fin. Posojila + rezervacije</w:t>
            </w:r>
          </w:p>
        </w:tc>
        <w:tc>
          <w:tcPr>
            <w:tcW w:w="2020" w:type="dxa"/>
            <w:tcBorders>
              <w:top w:val="single" w:sz="4" w:space="0" w:color="000000"/>
              <w:left w:val="single" w:sz="4" w:space="0" w:color="auto"/>
              <w:bottom w:val="single" w:sz="4" w:space="0" w:color="000000"/>
              <w:right w:val="single" w:sz="4" w:space="0" w:color="auto"/>
            </w:tcBorders>
            <w:shd w:val="clear" w:color="000000" w:fill="DBEEF3"/>
            <w:noWrap/>
            <w:vAlign w:val="bottom"/>
            <w:hideMark/>
          </w:tcPr>
          <w:p w:rsidR="00FA59EB" w:rsidRPr="00807DC5" w:rsidRDefault="00FA59EB" w:rsidP="003E1F97">
            <w:pPr>
              <w:spacing w:after="0" w:line="240" w:lineRule="auto"/>
              <w:jc w:val="center"/>
              <w:rPr>
                <w:rFonts w:ascii="Calibri" w:eastAsia="Times New Roman" w:hAnsi="Calibri" w:cs="Times New Roman"/>
                <w:color w:val="000000"/>
              </w:rPr>
            </w:pPr>
            <w:r w:rsidRPr="00807DC5">
              <w:rPr>
                <w:rFonts w:ascii="Calibri" w:eastAsia="Times New Roman" w:hAnsi="Calibri" w:cs="Times New Roman"/>
                <w:color w:val="000000"/>
              </w:rPr>
              <w:t>32.210.134,00 €</w:t>
            </w:r>
          </w:p>
        </w:tc>
      </w:tr>
    </w:tbl>
    <w:p w:rsidR="00FA59EB" w:rsidRDefault="00FA59EB" w:rsidP="00FA59EB">
      <w:pPr>
        <w:spacing w:line="360" w:lineRule="auto"/>
        <w:jc w:val="both"/>
      </w:pPr>
    </w:p>
    <w:p w:rsidR="00FA59EB" w:rsidRPr="00664B27" w:rsidRDefault="00FA59EB" w:rsidP="00FA59EB">
      <w:pPr>
        <w:spacing w:line="360" w:lineRule="auto"/>
        <w:jc w:val="both"/>
        <w:rPr>
          <w:rFonts w:ascii="Times New Roman" w:hAnsi="Times New Roman" w:cs="Times New Roman"/>
          <w:sz w:val="24"/>
        </w:rPr>
      </w:pPr>
      <w:r w:rsidRPr="00664B27">
        <w:rPr>
          <w:rFonts w:ascii="Times New Roman" w:hAnsi="Times New Roman" w:cs="Times New Roman"/>
          <w:sz w:val="24"/>
        </w:rPr>
        <w:t>Tako smo dobili končni povprečni vrednosti lastniškega kapitala, ki sta primerljivi tudi z izračuni po ostalih uporabljenih metodah in sta uporabljeni v izračunu končne povprečne vrednosti iz vseh metod skupaj.</w:t>
      </w:r>
    </w:p>
    <w:p w:rsidR="00FA59EB" w:rsidRDefault="00FA59EB" w:rsidP="00FA59EB">
      <w:pPr>
        <w:spacing w:line="360" w:lineRule="auto"/>
        <w:jc w:val="both"/>
        <w:rPr>
          <w:rFonts w:ascii="Times New Roman" w:hAnsi="Times New Roman" w:cs="Times New Roman"/>
          <w:sz w:val="24"/>
        </w:rPr>
      </w:pPr>
    </w:p>
    <w:p w:rsidR="00664B27" w:rsidRPr="00664B27" w:rsidRDefault="00664B27" w:rsidP="00FA59EB">
      <w:pPr>
        <w:spacing w:line="360" w:lineRule="auto"/>
        <w:jc w:val="both"/>
        <w:rPr>
          <w:rFonts w:ascii="Times New Roman" w:hAnsi="Times New Roman" w:cs="Times New Roman"/>
          <w:sz w:val="24"/>
        </w:rPr>
      </w:pPr>
    </w:p>
    <w:p w:rsidR="00664B27" w:rsidRPr="00664B27" w:rsidRDefault="00664B27" w:rsidP="00664B27">
      <w:pPr>
        <w:pStyle w:val="Caption"/>
        <w:keepNext/>
        <w:spacing w:after="120"/>
        <w:jc w:val="center"/>
        <w:rPr>
          <w:b w:val="0"/>
          <w:color w:val="auto"/>
          <w:sz w:val="20"/>
        </w:rPr>
      </w:pPr>
      <w:bookmarkStart w:id="33" w:name="_Toc327382777"/>
      <w:r w:rsidRPr="00664B27">
        <w:rPr>
          <w:b w:val="0"/>
          <w:color w:val="auto"/>
          <w:sz w:val="20"/>
        </w:rPr>
        <w:lastRenderedPageBreak/>
        <w:t xml:space="preserve">Tabela </w:t>
      </w:r>
      <w:r w:rsidR="005A3C60" w:rsidRPr="00664B27">
        <w:rPr>
          <w:b w:val="0"/>
          <w:color w:val="auto"/>
          <w:sz w:val="20"/>
        </w:rPr>
        <w:fldChar w:fldCharType="begin"/>
      </w:r>
      <w:r w:rsidRPr="00664B27">
        <w:rPr>
          <w:b w:val="0"/>
          <w:color w:val="auto"/>
          <w:sz w:val="20"/>
        </w:rPr>
        <w:instrText xml:space="preserve"> SEQ Tabela \* ARABIC </w:instrText>
      </w:r>
      <w:r w:rsidR="005A3C60" w:rsidRPr="00664B27">
        <w:rPr>
          <w:b w:val="0"/>
          <w:color w:val="auto"/>
          <w:sz w:val="20"/>
        </w:rPr>
        <w:fldChar w:fldCharType="separate"/>
      </w:r>
      <w:r w:rsidRPr="00664B27">
        <w:rPr>
          <w:b w:val="0"/>
          <w:noProof/>
          <w:color w:val="auto"/>
          <w:sz w:val="20"/>
        </w:rPr>
        <w:t>15</w:t>
      </w:r>
      <w:r w:rsidR="005A3C60" w:rsidRPr="00664B27">
        <w:rPr>
          <w:b w:val="0"/>
          <w:color w:val="auto"/>
          <w:sz w:val="20"/>
        </w:rPr>
        <w:fldChar w:fldCharType="end"/>
      </w:r>
      <w:r w:rsidRPr="00664B27">
        <w:rPr>
          <w:b w:val="0"/>
          <w:color w:val="auto"/>
          <w:sz w:val="20"/>
        </w:rPr>
        <w:t xml:space="preserve">: Izračun povprečne vrednosti lastniškega kapitala s pomočjo </w:t>
      </w:r>
      <w:proofErr w:type="spellStart"/>
      <w:r w:rsidRPr="00664B27">
        <w:rPr>
          <w:b w:val="0"/>
          <w:color w:val="auto"/>
          <w:sz w:val="20"/>
        </w:rPr>
        <w:t>multiplikatorja</w:t>
      </w:r>
      <w:bookmarkEnd w:id="33"/>
      <w:proofErr w:type="spellEnd"/>
    </w:p>
    <w:p w:rsidR="00FA59EB" w:rsidRDefault="00FA59EB" w:rsidP="00664B27">
      <w:pPr>
        <w:spacing w:line="360" w:lineRule="auto"/>
        <w:jc w:val="center"/>
      </w:pPr>
      <w:r w:rsidRPr="00C921C7">
        <w:rPr>
          <w:noProof/>
          <w:lang w:eastAsia="sl-SI"/>
        </w:rPr>
        <w:drawing>
          <wp:inline distT="0" distB="0" distL="0" distR="0">
            <wp:extent cx="4433680" cy="1618200"/>
            <wp:effectExtent l="19050" t="0" r="4970" b="0"/>
            <wp:docPr id="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434459" cy="1618484"/>
                    </a:xfrm>
                    <a:prstGeom prst="rect">
                      <a:avLst/>
                    </a:prstGeom>
                    <a:noFill/>
                    <a:ln w="9525">
                      <a:noFill/>
                      <a:miter lim="800000"/>
                      <a:headEnd/>
                      <a:tailEnd/>
                    </a:ln>
                  </pic:spPr>
                </pic:pic>
              </a:graphicData>
            </a:graphic>
          </wp:inline>
        </w:drawing>
      </w:r>
    </w:p>
    <w:p w:rsidR="00664B27" w:rsidRPr="00664B27" w:rsidRDefault="00664B27" w:rsidP="00664B27">
      <w:pPr>
        <w:spacing w:line="360" w:lineRule="auto"/>
        <w:jc w:val="center"/>
      </w:pPr>
    </w:p>
    <w:p w:rsidR="002C092B" w:rsidRPr="0069250D" w:rsidRDefault="002C092B" w:rsidP="00F14343">
      <w:pPr>
        <w:pStyle w:val="Heading1"/>
        <w:numPr>
          <w:ilvl w:val="0"/>
          <w:numId w:val="4"/>
        </w:numPr>
        <w:spacing w:before="0" w:after="120"/>
      </w:pPr>
      <w:bookmarkStart w:id="34" w:name="_Toc327382761"/>
      <w:r w:rsidRPr="0069250D">
        <w:t>IZRAČUN POVPREČNE VREDNOSTI LASTNIŠKEGA KAPITALA ZA VSE TRI METODE VREDNOTENJA</w:t>
      </w:r>
      <w:bookmarkEnd w:id="34"/>
    </w:p>
    <w:p w:rsidR="002C092B" w:rsidRDefault="002C092B" w:rsidP="002C092B">
      <w:pPr>
        <w:spacing w:line="360" w:lineRule="auto"/>
        <w:jc w:val="both"/>
        <w:rPr>
          <w:rFonts w:ascii="Times New Roman" w:hAnsi="Times New Roman" w:cs="Times New Roman"/>
          <w:sz w:val="24"/>
          <w:szCs w:val="24"/>
        </w:rPr>
      </w:pPr>
      <w:r w:rsidRPr="00A41085">
        <w:rPr>
          <w:rFonts w:ascii="Times New Roman" w:hAnsi="Times New Roman" w:cs="Times New Roman"/>
          <w:sz w:val="24"/>
          <w:szCs w:val="24"/>
        </w:rPr>
        <w:t xml:space="preserve">Z uporabo metod FCFF, dividendno diskontnega modela in metode vrednotenja z </w:t>
      </w:r>
      <w:proofErr w:type="spellStart"/>
      <w:r w:rsidRPr="00A41085">
        <w:rPr>
          <w:rFonts w:ascii="Times New Roman" w:hAnsi="Times New Roman" w:cs="Times New Roman"/>
          <w:sz w:val="24"/>
          <w:szCs w:val="24"/>
        </w:rPr>
        <w:t>multiplikatorjem</w:t>
      </w:r>
      <w:proofErr w:type="spellEnd"/>
      <w:r w:rsidRPr="00A41085">
        <w:rPr>
          <w:rFonts w:ascii="Times New Roman" w:hAnsi="Times New Roman" w:cs="Times New Roman"/>
          <w:sz w:val="24"/>
          <w:szCs w:val="24"/>
        </w:rPr>
        <w:t xml:space="preserve"> smo dobili štiri različne vrednoti. Štiri zato, ker smo pri vrednotenju z </w:t>
      </w:r>
      <w:proofErr w:type="spellStart"/>
      <w:r w:rsidRPr="00A41085">
        <w:rPr>
          <w:rFonts w:ascii="Times New Roman" w:hAnsi="Times New Roman" w:cs="Times New Roman"/>
          <w:sz w:val="24"/>
          <w:szCs w:val="24"/>
        </w:rPr>
        <w:t>multiplikatorjem</w:t>
      </w:r>
      <w:proofErr w:type="spellEnd"/>
      <w:r w:rsidRPr="00A41085">
        <w:rPr>
          <w:rFonts w:ascii="Times New Roman" w:hAnsi="Times New Roman" w:cs="Times New Roman"/>
          <w:sz w:val="24"/>
          <w:szCs w:val="24"/>
        </w:rPr>
        <w:t xml:space="preserve"> izračunali vrednost lastniškega kapitala na podlagi </w:t>
      </w:r>
      <w:proofErr w:type="spellStart"/>
      <w:r w:rsidRPr="00A41085">
        <w:rPr>
          <w:rFonts w:ascii="Times New Roman" w:hAnsi="Times New Roman" w:cs="Times New Roman"/>
          <w:sz w:val="24"/>
          <w:szCs w:val="24"/>
        </w:rPr>
        <w:t>multiplikatorjev</w:t>
      </w:r>
      <w:proofErr w:type="spellEnd"/>
      <w:r w:rsidRPr="00A41085">
        <w:rPr>
          <w:rFonts w:ascii="Times New Roman" w:hAnsi="Times New Roman" w:cs="Times New Roman"/>
          <w:sz w:val="24"/>
          <w:szCs w:val="24"/>
        </w:rPr>
        <w:t xml:space="preserve"> za dve panogi, </w:t>
      </w:r>
      <w:proofErr w:type="spellStart"/>
      <w:r w:rsidRPr="00A41085">
        <w:rPr>
          <w:rFonts w:ascii="Times New Roman" w:hAnsi="Times New Roman" w:cs="Times New Roman"/>
          <w:sz w:val="24"/>
          <w:szCs w:val="24"/>
        </w:rPr>
        <w:t>entertainment</w:t>
      </w:r>
      <w:proofErr w:type="spellEnd"/>
      <w:r w:rsidRPr="00A41085">
        <w:rPr>
          <w:rFonts w:ascii="Times New Roman" w:hAnsi="Times New Roman" w:cs="Times New Roman"/>
          <w:sz w:val="24"/>
          <w:szCs w:val="24"/>
        </w:rPr>
        <w:t xml:space="preserve"> in </w:t>
      </w:r>
      <w:proofErr w:type="spellStart"/>
      <w:r w:rsidRPr="00A41085">
        <w:rPr>
          <w:rFonts w:ascii="Times New Roman" w:hAnsi="Times New Roman" w:cs="Times New Roman"/>
          <w:sz w:val="24"/>
          <w:szCs w:val="24"/>
        </w:rPr>
        <w:t>recreation</w:t>
      </w:r>
      <w:proofErr w:type="spellEnd"/>
      <w:r w:rsidRPr="00A41085">
        <w:rPr>
          <w:rFonts w:ascii="Times New Roman" w:hAnsi="Times New Roman" w:cs="Times New Roman"/>
          <w:sz w:val="24"/>
          <w:szCs w:val="24"/>
        </w:rPr>
        <w:t xml:space="preserve">. Največjo vrednost smo izračunali z modelom vrednotenja z </w:t>
      </w:r>
      <w:proofErr w:type="spellStart"/>
      <w:r w:rsidRPr="00A41085">
        <w:rPr>
          <w:rFonts w:ascii="Times New Roman" w:hAnsi="Times New Roman" w:cs="Times New Roman"/>
          <w:sz w:val="24"/>
          <w:szCs w:val="24"/>
        </w:rPr>
        <w:t>multiplikatorjem</w:t>
      </w:r>
      <w:proofErr w:type="spellEnd"/>
      <w:r w:rsidRPr="00A41085">
        <w:rPr>
          <w:rFonts w:ascii="Times New Roman" w:hAnsi="Times New Roman" w:cs="Times New Roman"/>
          <w:sz w:val="24"/>
          <w:szCs w:val="24"/>
        </w:rPr>
        <w:t xml:space="preserve"> za panogo </w:t>
      </w:r>
      <w:proofErr w:type="spellStart"/>
      <w:r w:rsidRPr="00A41085">
        <w:rPr>
          <w:rFonts w:ascii="Times New Roman" w:hAnsi="Times New Roman" w:cs="Times New Roman"/>
          <w:sz w:val="24"/>
          <w:szCs w:val="24"/>
        </w:rPr>
        <w:t>recreation</w:t>
      </w:r>
      <w:proofErr w:type="spellEnd"/>
      <w:r w:rsidRPr="00A41085">
        <w:rPr>
          <w:rFonts w:ascii="Times New Roman" w:hAnsi="Times New Roman" w:cs="Times New Roman"/>
          <w:sz w:val="24"/>
          <w:szCs w:val="24"/>
        </w:rPr>
        <w:t>. Najmanjšo vrednost lastniškega kapitala pa smo izračunali z dividendno diskontnim modelom. Za konec pa smo izračunali tudi povprečno vrednost lastniškega kapitala podjetja na podlagi vseh štirih izračunov. Vse vrednosti so podane v spodnji tabeli.</w:t>
      </w:r>
    </w:p>
    <w:p w:rsidR="002C092B" w:rsidRPr="002C092B" w:rsidRDefault="002C092B" w:rsidP="002C092B">
      <w:pPr>
        <w:pStyle w:val="Caption"/>
        <w:spacing w:after="120"/>
        <w:jc w:val="center"/>
        <w:rPr>
          <w:rFonts w:ascii="Times New Roman" w:hAnsi="Times New Roman" w:cs="Times New Roman"/>
          <w:color w:val="auto"/>
          <w:sz w:val="28"/>
          <w:szCs w:val="24"/>
        </w:rPr>
      </w:pPr>
      <w:bookmarkStart w:id="35" w:name="_Toc327382778"/>
      <w:r w:rsidRPr="002C092B">
        <w:rPr>
          <w:color w:val="auto"/>
          <w:sz w:val="20"/>
        </w:rPr>
        <w:t xml:space="preserve">Tabela </w:t>
      </w:r>
      <w:r w:rsidR="005A3C60" w:rsidRPr="002C092B">
        <w:rPr>
          <w:color w:val="auto"/>
          <w:sz w:val="20"/>
        </w:rPr>
        <w:fldChar w:fldCharType="begin"/>
      </w:r>
      <w:r w:rsidRPr="002C092B">
        <w:rPr>
          <w:color w:val="auto"/>
          <w:sz w:val="20"/>
        </w:rPr>
        <w:instrText xml:space="preserve"> SEQ Tabela \* ARABIC </w:instrText>
      </w:r>
      <w:r w:rsidR="005A3C60" w:rsidRPr="002C092B">
        <w:rPr>
          <w:color w:val="auto"/>
          <w:sz w:val="20"/>
        </w:rPr>
        <w:fldChar w:fldCharType="separate"/>
      </w:r>
      <w:r w:rsidR="00664B27">
        <w:rPr>
          <w:noProof/>
          <w:color w:val="auto"/>
          <w:sz w:val="20"/>
        </w:rPr>
        <w:t>16</w:t>
      </w:r>
      <w:r w:rsidR="005A3C60" w:rsidRPr="002C092B">
        <w:rPr>
          <w:color w:val="auto"/>
          <w:sz w:val="20"/>
        </w:rPr>
        <w:fldChar w:fldCharType="end"/>
      </w:r>
      <w:r w:rsidRPr="002C092B">
        <w:rPr>
          <w:color w:val="auto"/>
          <w:sz w:val="20"/>
        </w:rPr>
        <w:t>: Povprečna vrednost lastniškega kapitala po vseh metodah</w:t>
      </w:r>
      <w:bookmarkEnd w:id="35"/>
    </w:p>
    <w:tbl>
      <w:tblPr>
        <w:tblW w:w="9096" w:type="dxa"/>
        <w:tblInd w:w="428" w:type="dxa"/>
        <w:tblCellMar>
          <w:left w:w="70" w:type="dxa"/>
          <w:right w:w="70" w:type="dxa"/>
        </w:tblCellMar>
        <w:tblLook w:val="04A0" w:firstRow="1" w:lastRow="0" w:firstColumn="1" w:lastColumn="0" w:noHBand="0" w:noVBand="1"/>
      </w:tblPr>
      <w:tblGrid>
        <w:gridCol w:w="4728"/>
        <w:gridCol w:w="4368"/>
      </w:tblGrid>
      <w:tr w:rsidR="002C092B" w:rsidRPr="00831A18" w:rsidTr="00E7690F">
        <w:trPr>
          <w:trHeight w:val="300"/>
        </w:trPr>
        <w:tc>
          <w:tcPr>
            <w:tcW w:w="4728" w:type="dxa"/>
            <w:tcBorders>
              <w:top w:val="nil"/>
              <w:left w:val="nil"/>
              <w:bottom w:val="single" w:sz="4" w:space="0" w:color="FFFFFF"/>
              <w:right w:val="single" w:sz="4" w:space="0" w:color="FFFFFF"/>
            </w:tcBorders>
            <w:shd w:val="clear" w:color="000000" w:fill="4BACC6"/>
            <w:noWrap/>
            <w:vAlign w:val="bottom"/>
            <w:hideMark/>
          </w:tcPr>
          <w:p w:rsidR="002C092B" w:rsidRPr="00831A18" w:rsidRDefault="002C092B" w:rsidP="00E7690F">
            <w:pPr>
              <w:spacing w:after="0" w:line="240" w:lineRule="auto"/>
              <w:rPr>
                <w:rFonts w:ascii="Calibri" w:eastAsia="Times New Roman" w:hAnsi="Calibri" w:cs="Times New Roman"/>
                <w:b/>
                <w:bCs/>
                <w:color w:val="FFFFFF"/>
                <w:lang w:eastAsia="sl-SI"/>
              </w:rPr>
            </w:pPr>
            <w:r w:rsidRPr="00831A18">
              <w:rPr>
                <w:rFonts w:ascii="Calibri" w:eastAsia="Times New Roman" w:hAnsi="Calibri" w:cs="Times New Roman"/>
                <w:b/>
                <w:bCs/>
                <w:color w:val="FFFFFF"/>
                <w:lang w:eastAsia="sl-SI"/>
              </w:rPr>
              <w:t>METODA VREDNOTENJA</w:t>
            </w:r>
          </w:p>
        </w:tc>
        <w:tc>
          <w:tcPr>
            <w:tcW w:w="4368" w:type="dxa"/>
            <w:tcBorders>
              <w:top w:val="nil"/>
              <w:left w:val="nil"/>
              <w:bottom w:val="single" w:sz="4" w:space="0" w:color="FFFFFF"/>
              <w:right w:val="single" w:sz="4" w:space="0" w:color="FFFFFF"/>
            </w:tcBorders>
            <w:shd w:val="clear" w:color="000000" w:fill="4BACC6"/>
            <w:noWrap/>
            <w:vAlign w:val="bottom"/>
            <w:hideMark/>
          </w:tcPr>
          <w:p w:rsidR="002C092B" w:rsidRPr="00831A18" w:rsidRDefault="002C092B" w:rsidP="00E7690F">
            <w:pPr>
              <w:spacing w:after="0" w:line="240" w:lineRule="auto"/>
              <w:jc w:val="center"/>
              <w:rPr>
                <w:rFonts w:ascii="Calibri" w:eastAsia="Times New Roman" w:hAnsi="Calibri" w:cs="Times New Roman"/>
                <w:b/>
                <w:bCs/>
                <w:color w:val="FFFFFF"/>
                <w:lang w:eastAsia="sl-SI"/>
              </w:rPr>
            </w:pPr>
            <w:r w:rsidRPr="00831A18">
              <w:rPr>
                <w:rFonts w:ascii="Calibri" w:eastAsia="Times New Roman" w:hAnsi="Calibri" w:cs="Times New Roman"/>
                <w:b/>
                <w:bCs/>
                <w:color w:val="FFFFFF"/>
                <w:lang w:eastAsia="sl-SI"/>
              </w:rPr>
              <w:t>VREDNOST LASTNIŠKEGA KAPITALA</w:t>
            </w:r>
          </w:p>
        </w:tc>
      </w:tr>
      <w:tr w:rsidR="002C092B" w:rsidRPr="00831A18" w:rsidTr="00E7690F">
        <w:trPr>
          <w:trHeight w:val="315"/>
        </w:trPr>
        <w:tc>
          <w:tcPr>
            <w:tcW w:w="4728" w:type="dxa"/>
            <w:tcBorders>
              <w:top w:val="nil"/>
              <w:left w:val="nil"/>
              <w:bottom w:val="single" w:sz="4" w:space="0" w:color="FFFFFF"/>
              <w:right w:val="single" w:sz="4" w:space="0" w:color="FFFFFF"/>
            </w:tcBorders>
            <w:shd w:val="clear" w:color="000000" w:fill="4BACC6"/>
            <w:noWrap/>
            <w:vAlign w:val="bottom"/>
            <w:hideMark/>
          </w:tcPr>
          <w:p w:rsidR="002C092B" w:rsidRPr="00831A18" w:rsidRDefault="002C092B" w:rsidP="00E7690F">
            <w:pPr>
              <w:spacing w:after="0" w:line="240" w:lineRule="auto"/>
              <w:rPr>
                <w:rFonts w:ascii="Calibri" w:eastAsia="Times New Roman" w:hAnsi="Calibri" w:cs="Times New Roman"/>
                <w:color w:val="FFFFFF"/>
                <w:lang w:eastAsia="sl-SI"/>
              </w:rPr>
            </w:pPr>
            <w:r w:rsidRPr="00831A18">
              <w:rPr>
                <w:rFonts w:ascii="Calibri" w:eastAsia="Times New Roman" w:hAnsi="Calibri" w:cs="Times New Roman"/>
                <w:color w:val="FFFFFF"/>
                <w:lang w:eastAsia="sl-SI"/>
              </w:rPr>
              <w:t>Diskontirani FCF</w:t>
            </w:r>
          </w:p>
        </w:tc>
        <w:tc>
          <w:tcPr>
            <w:tcW w:w="4368" w:type="dxa"/>
            <w:tcBorders>
              <w:top w:val="nil"/>
              <w:left w:val="nil"/>
              <w:bottom w:val="single" w:sz="4" w:space="0" w:color="FFFFFF"/>
              <w:right w:val="single" w:sz="4" w:space="0" w:color="FFFFFF"/>
            </w:tcBorders>
            <w:shd w:val="clear" w:color="DBEEF3" w:fill="DBEEF3"/>
            <w:noWrap/>
            <w:vAlign w:val="bottom"/>
            <w:hideMark/>
          </w:tcPr>
          <w:p w:rsidR="002C092B" w:rsidRPr="00831A18" w:rsidRDefault="002C092B" w:rsidP="00E7690F">
            <w:pPr>
              <w:spacing w:after="0" w:line="240" w:lineRule="auto"/>
              <w:jc w:val="center"/>
              <w:rPr>
                <w:rFonts w:ascii="Calibri" w:eastAsia="Times New Roman" w:hAnsi="Calibri" w:cs="Times New Roman"/>
                <w:color w:val="000000"/>
                <w:lang w:eastAsia="sl-SI"/>
              </w:rPr>
            </w:pPr>
            <w:r w:rsidRPr="00831A18">
              <w:rPr>
                <w:rFonts w:ascii="Calibri" w:eastAsia="Times New Roman" w:hAnsi="Calibri" w:cs="Times New Roman"/>
                <w:color w:val="000000"/>
                <w:lang w:eastAsia="sl-SI"/>
              </w:rPr>
              <w:t>112.193.445 €</w:t>
            </w:r>
          </w:p>
        </w:tc>
      </w:tr>
      <w:tr w:rsidR="002C092B" w:rsidRPr="00831A18" w:rsidTr="00E7690F">
        <w:trPr>
          <w:trHeight w:val="330"/>
        </w:trPr>
        <w:tc>
          <w:tcPr>
            <w:tcW w:w="4728" w:type="dxa"/>
            <w:tcBorders>
              <w:top w:val="nil"/>
              <w:left w:val="nil"/>
              <w:bottom w:val="single" w:sz="4" w:space="0" w:color="FFFFFF"/>
              <w:right w:val="single" w:sz="4" w:space="0" w:color="FFFFFF"/>
            </w:tcBorders>
            <w:shd w:val="clear" w:color="000000" w:fill="4BACC6"/>
            <w:noWrap/>
            <w:vAlign w:val="bottom"/>
            <w:hideMark/>
          </w:tcPr>
          <w:p w:rsidR="002C092B" w:rsidRPr="00831A18" w:rsidRDefault="002C092B" w:rsidP="00E7690F">
            <w:pPr>
              <w:spacing w:after="0" w:line="240" w:lineRule="auto"/>
              <w:rPr>
                <w:rFonts w:ascii="Calibri" w:eastAsia="Times New Roman" w:hAnsi="Calibri" w:cs="Times New Roman"/>
                <w:color w:val="FFFFFF"/>
                <w:lang w:eastAsia="sl-SI"/>
              </w:rPr>
            </w:pPr>
            <w:r w:rsidRPr="00831A18">
              <w:rPr>
                <w:rFonts w:ascii="Calibri" w:eastAsia="Times New Roman" w:hAnsi="Calibri" w:cs="Times New Roman"/>
                <w:color w:val="FFFFFF"/>
                <w:lang w:eastAsia="sl-SI"/>
              </w:rPr>
              <w:t>Dividendno-diskontni</w:t>
            </w:r>
          </w:p>
        </w:tc>
        <w:tc>
          <w:tcPr>
            <w:tcW w:w="4368" w:type="dxa"/>
            <w:tcBorders>
              <w:top w:val="nil"/>
              <w:left w:val="nil"/>
              <w:bottom w:val="single" w:sz="4" w:space="0" w:color="FFFFFF"/>
              <w:right w:val="single" w:sz="4" w:space="0" w:color="FFFFFF"/>
            </w:tcBorders>
            <w:shd w:val="clear" w:color="B6DDE8" w:fill="B6DDE8"/>
            <w:noWrap/>
            <w:vAlign w:val="bottom"/>
            <w:hideMark/>
          </w:tcPr>
          <w:p w:rsidR="002C092B" w:rsidRPr="00831A18" w:rsidRDefault="002C092B" w:rsidP="00E7690F">
            <w:pPr>
              <w:spacing w:after="0" w:line="240" w:lineRule="auto"/>
              <w:jc w:val="center"/>
              <w:rPr>
                <w:rFonts w:ascii="Calibri" w:eastAsia="Times New Roman" w:hAnsi="Calibri" w:cs="Times New Roman"/>
                <w:color w:val="000000"/>
                <w:lang w:eastAsia="sl-SI"/>
              </w:rPr>
            </w:pPr>
            <w:r w:rsidRPr="00831A18">
              <w:rPr>
                <w:rFonts w:ascii="Calibri" w:eastAsia="Times New Roman" w:hAnsi="Calibri" w:cs="Times New Roman"/>
                <w:color w:val="000000"/>
                <w:lang w:eastAsia="sl-SI"/>
              </w:rPr>
              <w:t>61.834.580 €</w:t>
            </w:r>
          </w:p>
        </w:tc>
      </w:tr>
      <w:tr w:rsidR="002C092B" w:rsidRPr="00831A18" w:rsidTr="00E7690F">
        <w:trPr>
          <w:trHeight w:val="315"/>
        </w:trPr>
        <w:tc>
          <w:tcPr>
            <w:tcW w:w="4728" w:type="dxa"/>
            <w:tcBorders>
              <w:top w:val="nil"/>
              <w:left w:val="nil"/>
              <w:bottom w:val="single" w:sz="4" w:space="0" w:color="FFFFFF"/>
              <w:right w:val="single" w:sz="4" w:space="0" w:color="FFFFFF"/>
            </w:tcBorders>
            <w:shd w:val="clear" w:color="000000" w:fill="4BACC6"/>
            <w:noWrap/>
            <w:vAlign w:val="bottom"/>
            <w:hideMark/>
          </w:tcPr>
          <w:p w:rsidR="002C092B" w:rsidRPr="00831A18" w:rsidRDefault="002C092B" w:rsidP="00E7690F">
            <w:pPr>
              <w:spacing w:after="0" w:line="240" w:lineRule="auto"/>
              <w:rPr>
                <w:rFonts w:ascii="Calibri" w:eastAsia="Times New Roman" w:hAnsi="Calibri" w:cs="Times New Roman"/>
                <w:color w:val="FFFFFF"/>
                <w:lang w:eastAsia="sl-SI"/>
              </w:rPr>
            </w:pPr>
            <w:proofErr w:type="spellStart"/>
            <w:r w:rsidRPr="00831A18">
              <w:rPr>
                <w:rFonts w:ascii="Calibri" w:eastAsia="Times New Roman" w:hAnsi="Calibri" w:cs="Times New Roman"/>
                <w:color w:val="FFFFFF"/>
                <w:lang w:eastAsia="sl-SI"/>
              </w:rPr>
              <w:t>Multiplikator</w:t>
            </w:r>
            <w:proofErr w:type="spellEnd"/>
            <w:r w:rsidRPr="00831A18">
              <w:rPr>
                <w:rFonts w:ascii="Calibri" w:eastAsia="Times New Roman" w:hAnsi="Calibri" w:cs="Times New Roman"/>
                <w:color w:val="FFFFFF"/>
                <w:lang w:eastAsia="sl-SI"/>
              </w:rPr>
              <w:t xml:space="preserve"> (</w:t>
            </w:r>
            <w:proofErr w:type="spellStart"/>
            <w:r w:rsidRPr="00831A18">
              <w:rPr>
                <w:rFonts w:ascii="Calibri" w:eastAsia="Times New Roman" w:hAnsi="Calibri" w:cs="Times New Roman"/>
                <w:color w:val="FFFFFF"/>
                <w:lang w:eastAsia="sl-SI"/>
              </w:rPr>
              <w:t>entertainment</w:t>
            </w:r>
            <w:proofErr w:type="spellEnd"/>
            <w:r w:rsidRPr="00831A18">
              <w:rPr>
                <w:rFonts w:ascii="Calibri" w:eastAsia="Times New Roman" w:hAnsi="Calibri" w:cs="Times New Roman"/>
                <w:color w:val="FFFFFF"/>
                <w:lang w:eastAsia="sl-SI"/>
              </w:rPr>
              <w:t>)</w:t>
            </w:r>
          </w:p>
        </w:tc>
        <w:tc>
          <w:tcPr>
            <w:tcW w:w="4368" w:type="dxa"/>
            <w:tcBorders>
              <w:top w:val="nil"/>
              <w:left w:val="nil"/>
              <w:bottom w:val="single" w:sz="4" w:space="0" w:color="FFFFFF"/>
              <w:right w:val="single" w:sz="4" w:space="0" w:color="FFFFFF"/>
            </w:tcBorders>
            <w:shd w:val="clear" w:color="DBEEF3" w:fill="DBEEF3"/>
            <w:noWrap/>
            <w:vAlign w:val="bottom"/>
            <w:hideMark/>
          </w:tcPr>
          <w:p w:rsidR="002C092B" w:rsidRPr="00831A18" w:rsidRDefault="002C092B" w:rsidP="00E7690F">
            <w:pPr>
              <w:spacing w:after="0" w:line="240" w:lineRule="auto"/>
              <w:jc w:val="center"/>
              <w:rPr>
                <w:rFonts w:ascii="Calibri" w:eastAsia="Times New Roman" w:hAnsi="Calibri" w:cs="Times New Roman"/>
                <w:color w:val="000000"/>
                <w:lang w:eastAsia="sl-SI"/>
              </w:rPr>
            </w:pPr>
            <w:r w:rsidRPr="00831A18">
              <w:rPr>
                <w:rFonts w:ascii="Calibri" w:eastAsia="Times New Roman" w:hAnsi="Calibri" w:cs="Times New Roman"/>
                <w:color w:val="000000"/>
                <w:lang w:eastAsia="sl-SI"/>
              </w:rPr>
              <w:t>114.762.244 €</w:t>
            </w:r>
          </w:p>
        </w:tc>
      </w:tr>
      <w:tr w:rsidR="002C092B" w:rsidRPr="00831A18" w:rsidTr="00E7690F">
        <w:trPr>
          <w:trHeight w:val="315"/>
        </w:trPr>
        <w:tc>
          <w:tcPr>
            <w:tcW w:w="4728" w:type="dxa"/>
            <w:tcBorders>
              <w:top w:val="nil"/>
              <w:left w:val="nil"/>
              <w:bottom w:val="single" w:sz="4" w:space="0" w:color="FFFFFF"/>
              <w:right w:val="single" w:sz="4" w:space="0" w:color="FFFFFF"/>
            </w:tcBorders>
            <w:shd w:val="clear" w:color="000000" w:fill="4BACC6"/>
            <w:noWrap/>
            <w:vAlign w:val="bottom"/>
            <w:hideMark/>
          </w:tcPr>
          <w:p w:rsidR="002C092B" w:rsidRPr="00831A18" w:rsidRDefault="002C092B" w:rsidP="00E7690F">
            <w:pPr>
              <w:spacing w:after="0" w:line="240" w:lineRule="auto"/>
              <w:rPr>
                <w:rFonts w:ascii="Calibri" w:eastAsia="Times New Roman" w:hAnsi="Calibri" w:cs="Times New Roman"/>
                <w:color w:val="FFFFFF"/>
                <w:lang w:eastAsia="sl-SI"/>
              </w:rPr>
            </w:pPr>
            <w:proofErr w:type="spellStart"/>
            <w:r w:rsidRPr="00831A18">
              <w:rPr>
                <w:rFonts w:ascii="Calibri" w:eastAsia="Times New Roman" w:hAnsi="Calibri" w:cs="Times New Roman"/>
                <w:color w:val="FFFFFF"/>
                <w:lang w:eastAsia="sl-SI"/>
              </w:rPr>
              <w:t>Multiplikator</w:t>
            </w:r>
            <w:proofErr w:type="spellEnd"/>
            <w:r w:rsidRPr="00831A18">
              <w:rPr>
                <w:rFonts w:ascii="Calibri" w:eastAsia="Times New Roman" w:hAnsi="Calibri" w:cs="Times New Roman"/>
                <w:color w:val="FFFFFF"/>
                <w:lang w:eastAsia="sl-SI"/>
              </w:rPr>
              <w:t xml:space="preserve"> (</w:t>
            </w:r>
            <w:proofErr w:type="spellStart"/>
            <w:r w:rsidRPr="00831A18">
              <w:rPr>
                <w:rFonts w:ascii="Calibri" w:eastAsia="Times New Roman" w:hAnsi="Calibri" w:cs="Times New Roman"/>
                <w:color w:val="FFFFFF"/>
                <w:lang w:eastAsia="sl-SI"/>
              </w:rPr>
              <w:t>recreation</w:t>
            </w:r>
            <w:proofErr w:type="spellEnd"/>
            <w:r w:rsidRPr="00831A18">
              <w:rPr>
                <w:rFonts w:ascii="Calibri" w:eastAsia="Times New Roman" w:hAnsi="Calibri" w:cs="Times New Roman"/>
                <w:color w:val="FFFFFF"/>
                <w:lang w:eastAsia="sl-SI"/>
              </w:rPr>
              <w:t>)</w:t>
            </w:r>
          </w:p>
        </w:tc>
        <w:tc>
          <w:tcPr>
            <w:tcW w:w="4368" w:type="dxa"/>
            <w:tcBorders>
              <w:top w:val="nil"/>
              <w:left w:val="nil"/>
              <w:bottom w:val="single" w:sz="4" w:space="0" w:color="FFFFFF"/>
              <w:right w:val="single" w:sz="4" w:space="0" w:color="FFFFFF"/>
            </w:tcBorders>
            <w:shd w:val="clear" w:color="B6DDE8" w:fill="B6DDE8"/>
            <w:noWrap/>
            <w:vAlign w:val="bottom"/>
            <w:hideMark/>
          </w:tcPr>
          <w:p w:rsidR="002C092B" w:rsidRPr="00831A18" w:rsidRDefault="002C092B" w:rsidP="00E7690F">
            <w:pPr>
              <w:spacing w:after="0" w:line="240" w:lineRule="auto"/>
              <w:jc w:val="center"/>
              <w:rPr>
                <w:rFonts w:ascii="Calibri" w:eastAsia="Times New Roman" w:hAnsi="Calibri" w:cs="Times New Roman"/>
                <w:color w:val="000000"/>
                <w:lang w:eastAsia="sl-SI"/>
              </w:rPr>
            </w:pPr>
            <w:r w:rsidRPr="00831A18">
              <w:rPr>
                <w:rFonts w:ascii="Calibri" w:eastAsia="Times New Roman" w:hAnsi="Calibri" w:cs="Times New Roman"/>
                <w:color w:val="000000"/>
                <w:lang w:eastAsia="sl-SI"/>
              </w:rPr>
              <w:t>137.624.706 €</w:t>
            </w:r>
          </w:p>
        </w:tc>
      </w:tr>
      <w:tr w:rsidR="002C092B" w:rsidRPr="00831A18" w:rsidTr="00E7690F">
        <w:trPr>
          <w:trHeight w:val="315"/>
        </w:trPr>
        <w:tc>
          <w:tcPr>
            <w:tcW w:w="4728" w:type="dxa"/>
            <w:tcBorders>
              <w:top w:val="nil"/>
              <w:left w:val="nil"/>
              <w:bottom w:val="nil"/>
              <w:right w:val="single" w:sz="4" w:space="0" w:color="FFFFFF"/>
            </w:tcBorders>
            <w:shd w:val="clear" w:color="000000" w:fill="4BACC6"/>
            <w:noWrap/>
            <w:vAlign w:val="bottom"/>
            <w:hideMark/>
          </w:tcPr>
          <w:p w:rsidR="002C092B" w:rsidRPr="00831A18" w:rsidRDefault="002C092B" w:rsidP="00E7690F">
            <w:pPr>
              <w:spacing w:after="0" w:line="240" w:lineRule="auto"/>
              <w:rPr>
                <w:rFonts w:ascii="Calibri" w:eastAsia="Times New Roman" w:hAnsi="Calibri" w:cs="Times New Roman"/>
                <w:b/>
                <w:bCs/>
                <w:color w:val="FFFFFF"/>
                <w:lang w:eastAsia="sl-SI"/>
              </w:rPr>
            </w:pPr>
            <w:r w:rsidRPr="00831A18">
              <w:rPr>
                <w:rFonts w:ascii="Calibri" w:eastAsia="Times New Roman" w:hAnsi="Calibri" w:cs="Times New Roman"/>
                <w:b/>
                <w:bCs/>
                <w:color w:val="FFFFFF"/>
                <w:lang w:eastAsia="sl-SI"/>
              </w:rPr>
              <w:t>POVPREČNA VREDNOST LASTNIŠKEGA KAPITALA</w:t>
            </w:r>
          </w:p>
        </w:tc>
        <w:tc>
          <w:tcPr>
            <w:tcW w:w="4368" w:type="dxa"/>
            <w:tcBorders>
              <w:top w:val="nil"/>
              <w:left w:val="nil"/>
              <w:bottom w:val="nil"/>
              <w:right w:val="single" w:sz="4" w:space="0" w:color="FFFFFF"/>
            </w:tcBorders>
            <w:shd w:val="clear" w:color="DBEEF3" w:fill="DBEEF3"/>
            <w:noWrap/>
            <w:vAlign w:val="bottom"/>
            <w:hideMark/>
          </w:tcPr>
          <w:p w:rsidR="002C092B" w:rsidRPr="00831A18" w:rsidRDefault="002C092B" w:rsidP="00E7690F">
            <w:pPr>
              <w:spacing w:after="0" w:line="240" w:lineRule="auto"/>
              <w:jc w:val="center"/>
              <w:rPr>
                <w:rFonts w:ascii="Calibri" w:eastAsia="Times New Roman" w:hAnsi="Calibri" w:cs="Times New Roman"/>
                <w:color w:val="000000"/>
                <w:lang w:eastAsia="sl-SI"/>
              </w:rPr>
            </w:pPr>
            <w:r w:rsidRPr="00831A18">
              <w:rPr>
                <w:rFonts w:ascii="Calibri" w:eastAsia="Times New Roman" w:hAnsi="Calibri" w:cs="Times New Roman"/>
                <w:color w:val="000000"/>
                <w:lang w:eastAsia="sl-SI"/>
              </w:rPr>
              <w:t>106.603.743,64 €</w:t>
            </w:r>
          </w:p>
        </w:tc>
      </w:tr>
    </w:tbl>
    <w:p w:rsidR="00504760" w:rsidRDefault="00504760" w:rsidP="002F04D4">
      <w:pPr>
        <w:spacing w:line="360" w:lineRule="auto"/>
        <w:jc w:val="both"/>
        <w:rPr>
          <w:rFonts w:ascii="Times New Roman" w:hAnsi="Times New Roman" w:cs="Times New Roman"/>
          <w:sz w:val="24"/>
        </w:rPr>
      </w:pPr>
    </w:p>
    <w:p w:rsidR="00E7690F" w:rsidRDefault="00E7690F" w:rsidP="002F04D4">
      <w:pPr>
        <w:spacing w:line="360" w:lineRule="auto"/>
        <w:jc w:val="both"/>
        <w:rPr>
          <w:rFonts w:ascii="Times New Roman" w:hAnsi="Times New Roman" w:cs="Times New Roman"/>
          <w:sz w:val="24"/>
        </w:rPr>
      </w:pPr>
    </w:p>
    <w:p w:rsidR="00E7690F" w:rsidRDefault="00E7690F" w:rsidP="002F04D4">
      <w:pPr>
        <w:spacing w:line="360" w:lineRule="auto"/>
        <w:jc w:val="both"/>
        <w:rPr>
          <w:rFonts w:ascii="Times New Roman" w:hAnsi="Times New Roman" w:cs="Times New Roman"/>
          <w:sz w:val="24"/>
        </w:rPr>
      </w:pPr>
    </w:p>
    <w:p w:rsidR="00E7690F" w:rsidRDefault="00E7690F" w:rsidP="002F04D4">
      <w:pPr>
        <w:spacing w:line="360" w:lineRule="auto"/>
        <w:jc w:val="both"/>
        <w:rPr>
          <w:rFonts w:ascii="Times New Roman" w:hAnsi="Times New Roman" w:cs="Times New Roman"/>
          <w:sz w:val="24"/>
        </w:rPr>
      </w:pPr>
    </w:p>
    <w:p w:rsidR="00E7690F" w:rsidRDefault="00E7690F" w:rsidP="002F04D4">
      <w:pPr>
        <w:spacing w:line="360" w:lineRule="auto"/>
        <w:jc w:val="both"/>
        <w:rPr>
          <w:rFonts w:ascii="Times New Roman" w:hAnsi="Times New Roman" w:cs="Times New Roman"/>
          <w:sz w:val="24"/>
        </w:rPr>
      </w:pPr>
    </w:p>
    <w:p w:rsidR="00E7690F" w:rsidRDefault="00E7690F" w:rsidP="002F04D4">
      <w:pPr>
        <w:spacing w:line="360" w:lineRule="auto"/>
        <w:jc w:val="both"/>
        <w:rPr>
          <w:rFonts w:ascii="Times New Roman" w:hAnsi="Times New Roman" w:cs="Times New Roman"/>
          <w:sz w:val="24"/>
        </w:rPr>
      </w:pPr>
    </w:p>
    <w:p w:rsidR="00E7690F" w:rsidRDefault="00E7690F" w:rsidP="00E7690F">
      <w:pPr>
        <w:pStyle w:val="Heading1"/>
        <w:spacing w:before="0" w:after="120"/>
      </w:pPr>
      <w:bookmarkStart w:id="36" w:name="_Toc327382762"/>
      <w:r>
        <w:lastRenderedPageBreak/>
        <w:t>VIRI</w:t>
      </w:r>
      <w:bookmarkEnd w:id="36"/>
    </w:p>
    <w:p w:rsidR="009C345B" w:rsidRDefault="009C345B" w:rsidP="00976171">
      <w:pPr>
        <w:pStyle w:val="ListParagraph"/>
        <w:numPr>
          <w:ilvl w:val="0"/>
          <w:numId w:val="5"/>
        </w:numPr>
      </w:pPr>
      <w:r>
        <w:t xml:space="preserve">Lokar, S. (2012, 12. Februar). </w:t>
      </w:r>
      <w:r w:rsidRPr="00976171">
        <w:rPr>
          <w:i/>
        </w:rPr>
        <w:t xml:space="preserve">Adria </w:t>
      </w:r>
      <w:proofErr w:type="spellStart"/>
      <w:r w:rsidRPr="00976171">
        <w:rPr>
          <w:i/>
        </w:rPr>
        <w:t>Mobil</w:t>
      </w:r>
      <w:proofErr w:type="spellEnd"/>
      <w:r w:rsidRPr="00976171">
        <w:rPr>
          <w:i/>
        </w:rPr>
        <w:t xml:space="preserve">: </w:t>
      </w:r>
      <w:proofErr w:type="spellStart"/>
      <w:r w:rsidRPr="00976171">
        <w:rPr>
          <w:i/>
        </w:rPr>
        <w:t>Adriaš</w:t>
      </w:r>
      <w:proofErr w:type="spellEnd"/>
      <w:r w:rsidRPr="00976171">
        <w:rPr>
          <w:i/>
        </w:rPr>
        <w:t xml:space="preserve"> je odgovoren, spoštljiv, </w:t>
      </w:r>
      <w:proofErr w:type="spellStart"/>
      <w:r w:rsidRPr="00976171">
        <w:rPr>
          <w:i/>
        </w:rPr>
        <w:t>pripaden</w:t>
      </w:r>
      <w:proofErr w:type="spellEnd"/>
      <w:r w:rsidRPr="00976171">
        <w:rPr>
          <w:i/>
        </w:rPr>
        <w:t xml:space="preserve"> in samokritičen. </w:t>
      </w:r>
      <w:r w:rsidRPr="00976171">
        <w:t>Najdeno 4.</w:t>
      </w:r>
      <w:r w:rsidR="00976171" w:rsidRPr="00976171">
        <w:t xml:space="preserve"> Junija 2012 na spletnem naslovu </w:t>
      </w:r>
      <w:hyperlink r:id="rId16" w:history="1">
        <w:r w:rsidR="00976171" w:rsidRPr="00E32516">
          <w:rPr>
            <w:rStyle w:val="Hyperlink"/>
          </w:rPr>
          <w:t>http://zlatanit.dnevnik.si/sl/Novice/387/Adria+Mobil%3A+Adria%C5%A1+je+odgovoren+spo%C5%A1tljiv+pripaden+in+samokriti%C4%8Den</w:t>
        </w:r>
      </w:hyperlink>
    </w:p>
    <w:p w:rsidR="00976171" w:rsidRDefault="00976171" w:rsidP="00976171">
      <w:pPr>
        <w:pStyle w:val="ListParagraph"/>
        <w:numPr>
          <w:ilvl w:val="0"/>
          <w:numId w:val="5"/>
        </w:numPr>
      </w:pPr>
      <w:r>
        <w:t xml:space="preserve">Gregorčič, J. (2012, 1. Junij). </w:t>
      </w:r>
      <w:r w:rsidRPr="00976171">
        <w:rPr>
          <w:i/>
        </w:rPr>
        <w:t xml:space="preserve">Adria </w:t>
      </w:r>
      <w:proofErr w:type="spellStart"/>
      <w:r w:rsidRPr="00976171">
        <w:rPr>
          <w:i/>
        </w:rPr>
        <w:t>Mobil</w:t>
      </w:r>
      <w:proofErr w:type="spellEnd"/>
      <w:r w:rsidRPr="00976171">
        <w:rPr>
          <w:i/>
        </w:rPr>
        <w:t xml:space="preserve"> pridobila naziv Učeče se organizacije</w:t>
      </w:r>
      <w:r>
        <w:t xml:space="preserve">. Najdeno 4. Junija </w:t>
      </w:r>
      <w:r w:rsidR="00C267C7">
        <w:t xml:space="preserve">2012 </w:t>
      </w:r>
      <w:r>
        <w:t xml:space="preserve">na spletnem naslovu </w:t>
      </w:r>
      <w:hyperlink r:id="rId17" w:history="1">
        <w:r w:rsidRPr="00E32516">
          <w:rPr>
            <w:rStyle w:val="Hyperlink"/>
          </w:rPr>
          <w:t>http://www.siol.net/avtomoto/novice/kratke/2012/06/adria_mobil_certifikat_uso_s11.aspx</w:t>
        </w:r>
      </w:hyperlink>
    </w:p>
    <w:p w:rsidR="00976171" w:rsidRDefault="00C267C7" w:rsidP="00C267C7">
      <w:pPr>
        <w:pStyle w:val="ListParagraph"/>
        <w:numPr>
          <w:ilvl w:val="0"/>
          <w:numId w:val="5"/>
        </w:numPr>
      </w:pPr>
      <w:r>
        <w:t xml:space="preserve">Lindič-Dragaš, Z. (2012, 3. Maj). </w:t>
      </w:r>
      <w:r w:rsidRPr="00C267C7">
        <w:rPr>
          <w:i/>
        </w:rPr>
        <w:t xml:space="preserve">Adria </w:t>
      </w:r>
      <w:proofErr w:type="spellStart"/>
      <w:r w:rsidRPr="00C267C7">
        <w:rPr>
          <w:i/>
        </w:rPr>
        <w:t>Mobil</w:t>
      </w:r>
      <w:proofErr w:type="spellEnd"/>
      <w:r w:rsidRPr="00C267C7">
        <w:rPr>
          <w:i/>
        </w:rPr>
        <w:t xml:space="preserve"> je prodala več</w:t>
      </w:r>
      <w:r>
        <w:t xml:space="preserve">. Najdeno 4. Junija 2012 na spletnem naslovu  </w:t>
      </w:r>
      <w:hyperlink r:id="rId18" w:history="1">
        <w:r w:rsidRPr="00E32516">
          <w:rPr>
            <w:rStyle w:val="Hyperlink"/>
          </w:rPr>
          <w:t>http://www.delo.si/gospodarstvo/podjetja/adria-mobil-je-prodala-vec.html</w:t>
        </w:r>
      </w:hyperlink>
    </w:p>
    <w:p w:rsidR="00C267C7" w:rsidRDefault="00B71D49" w:rsidP="00B71D49">
      <w:pPr>
        <w:pStyle w:val="ListParagraph"/>
        <w:numPr>
          <w:ilvl w:val="0"/>
          <w:numId w:val="5"/>
        </w:numPr>
      </w:pPr>
      <w:proofErr w:type="spellStart"/>
      <w:r>
        <w:t>Cajnko</w:t>
      </w:r>
      <w:proofErr w:type="spellEnd"/>
      <w:r>
        <w:t xml:space="preserve"> Javornik, V. (2010, 19. Avgust). </w:t>
      </w:r>
      <w:r w:rsidRPr="00B71D49">
        <w:rPr>
          <w:i/>
        </w:rPr>
        <w:t xml:space="preserve">Ni počitnic za </w:t>
      </w:r>
      <w:proofErr w:type="spellStart"/>
      <w:r w:rsidRPr="00B71D49">
        <w:rPr>
          <w:i/>
        </w:rPr>
        <w:t>Adrio</w:t>
      </w:r>
      <w:proofErr w:type="spellEnd"/>
      <w:r w:rsidRPr="00B71D49">
        <w:rPr>
          <w:i/>
        </w:rPr>
        <w:t xml:space="preserve"> </w:t>
      </w:r>
      <w:proofErr w:type="spellStart"/>
      <w:r w:rsidRPr="00B71D49">
        <w:rPr>
          <w:i/>
        </w:rPr>
        <w:t>Mobil</w:t>
      </w:r>
      <w:proofErr w:type="spellEnd"/>
      <w:r>
        <w:t xml:space="preserve">. Najdeno 4. Junija 2012 na spletnem naslovu </w:t>
      </w:r>
      <w:hyperlink r:id="rId19" w:history="1">
        <w:r w:rsidRPr="00E32516">
          <w:rPr>
            <w:rStyle w:val="Hyperlink"/>
          </w:rPr>
          <w:t>http://www.finance.si/287178</w:t>
        </w:r>
      </w:hyperlink>
    </w:p>
    <w:p w:rsidR="00B71D49" w:rsidRDefault="00FE5845" w:rsidP="00FE5845">
      <w:pPr>
        <w:pStyle w:val="ListParagraph"/>
        <w:numPr>
          <w:ilvl w:val="0"/>
          <w:numId w:val="5"/>
        </w:numPr>
      </w:pPr>
      <w:r>
        <w:t xml:space="preserve">Dnevnik d.d. (2012, 3. Februar). </w:t>
      </w:r>
      <w:r w:rsidRPr="00CD5E74">
        <w:rPr>
          <w:i/>
        </w:rPr>
        <w:t xml:space="preserve">Znani so finalisti Zlate niti </w:t>
      </w:r>
      <w:r w:rsidR="00CD5E74" w:rsidRPr="00CD5E74">
        <w:rPr>
          <w:i/>
        </w:rPr>
        <w:t>2011</w:t>
      </w:r>
      <w:r>
        <w:t xml:space="preserve">. Najdeno 4. Junija 2012 na spletnem naslovu </w:t>
      </w:r>
      <w:hyperlink r:id="rId20" w:history="1">
        <w:r w:rsidRPr="00E32516">
          <w:rPr>
            <w:rStyle w:val="Hyperlink"/>
          </w:rPr>
          <w:t>http://zlatanit.dnevnik.si/sl/Novice/373/Znani+so+finalisti+Zlate+niti+2011</w:t>
        </w:r>
      </w:hyperlink>
    </w:p>
    <w:p w:rsidR="00FE5845" w:rsidRDefault="00D02D62" w:rsidP="00D02D62">
      <w:pPr>
        <w:pStyle w:val="ListParagraph"/>
        <w:numPr>
          <w:ilvl w:val="0"/>
          <w:numId w:val="5"/>
        </w:numPr>
      </w:pPr>
      <w:r>
        <w:t xml:space="preserve">Simonič, J. (2012, 22. Februar). </w:t>
      </w:r>
      <w:r w:rsidRPr="00D02D62">
        <w:rPr>
          <w:i/>
        </w:rPr>
        <w:t xml:space="preserve">Kako je novomeška Adria </w:t>
      </w:r>
      <w:proofErr w:type="spellStart"/>
      <w:r w:rsidRPr="00D02D62">
        <w:rPr>
          <w:i/>
        </w:rPr>
        <w:t>Mobil</w:t>
      </w:r>
      <w:proofErr w:type="spellEnd"/>
      <w:r w:rsidRPr="00D02D62">
        <w:rPr>
          <w:i/>
        </w:rPr>
        <w:t xml:space="preserve"> v Nemčiji postala kralj kupcev</w:t>
      </w:r>
      <w:r>
        <w:t xml:space="preserve">. Najdeno 4. Junija 2012 na spletnem naslovu </w:t>
      </w:r>
      <w:hyperlink r:id="rId21" w:history="1">
        <w:r w:rsidRPr="00E32516">
          <w:rPr>
            <w:rStyle w:val="Hyperlink"/>
          </w:rPr>
          <w:t>http://www.najdi.si/novica/Finance.si/Slovenija/Kako-je-novome%C5%A1ka-Adria-Mobil-v-Nem%C4%8Diji-postala-kralj-kupcev/cb2e9ab92b755bad24e2e3c2f026021d</w:t>
        </w:r>
      </w:hyperlink>
    </w:p>
    <w:p w:rsidR="00D02D62" w:rsidRDefault="007D3449" w:rsidP="007D3449">
      <w:pPr>
        <w:pStyle w:val="ListParagraph"/>
        <w:numPr>
          <w:ilvl w:val="0"/>
          <w:numId w:val="5"/>
        </w:numPr>
      </w:pPr>
      <w:proofErr w:type="spellStart"/>
      <w:r>
        <w:t>Finance.si</w:t>
      </w:r>
      <w:proofErr w:type="spellEnd"/>
      <w:r>
        <w:t xml:space="preserve"> (2012, 18. April). </w:t>
      </w:r>
      <w:r w:rsidRPr="007D3449">
        <w:rPr>
          <w:i/>
        </w:rPr>
        <w:t xml:space="preserve">Adria </w:t>
      </w:r>
      <w:proofErr w:type="spellStart"/>
      <w:r w:rsidRPr="007D3449">
        <w:rPr>
          <w:i/>
        </w:rPr>
        <w:t>Mobil</w:t>
      </w:r>
      <w:proofErr w:type="spellEnd"/>
      <w:r w:rsidRPr="007D3449">
        <w:rPr>
          <w:i/>
        </w:rPr>
        <w:t>, Simobil, Delo z najboljšimi tržniki</w:t>
      </w:r>
      <w:r>
        <w:t xml:space="preserve">. Najdeno 4. Junija 2012 na spletnem naslovu </w:t>
      </w:r>
      <w:hyperlink r:id="rId22" w:history="1">
        <w:r w:rsidRPr="00E32516">
          <w:rPr>
            <w:rStyle w:val="Hyperlink"/>
          </w:rPr>
          <w:t>http://www.najdi.si/novica/Radio-Krka/Slovenija/Adria-Mobil%2C-Simobil-in-Delo-z-najbolj%C5%A1imi-tr%C5%BEniki---Novo-mesto%2C-Ljubljana/7be7be8b38d0870e2aba032c40689b44</w:t>
        </w:r>
      </w:hyperlink>
    </w:p>
    <w:p w:rsidR="003E1F97" w:rsidRDefault="003E1F97" w:rsidP="00895FCF">
      <w:pPr>
        <w:pStyle w:val="ListParagraph"/>
        <w:numPr>
          <w:ilvl w:val="0"/>
          <w:numId w:val="5"/>
        </w:numPr>
      </w:pPr>
      <w:r>
        <w:t xml:space="preserve">Gregorčič, J. (2012, 17. Maj). </w:t>
      </w:r>
      <w:r w:rsidRPr="00DF483E">
        <w:rPr>
          <w:i/>
        </w:rPr>
        <w:t xml:space="preserve">Dolenjski </w:t>
      </w:r>
      <w:proofErr w:type="spellStart"/>
      <w:r w:rsidRPr="00DF483E">
        <w:rPr>
          <w:i/>
        </w:rPr>
        <w:t>karavaning</w:t>
      </w:r>
      <w:proofErr w:type="spellEnd"/>
      <w:r w:rsidRPr="00DF483E">
        <w:rPr>
          <w:i/>
        </w:rPr>
        <w:t xml:space="preserve"> velikan kljub globalni recesiji povečal tržni delež</w:t>
      </w:r>
      <w:r>
        <w:t xml:space="preserve">. Najdeno 4. Junija 2012 na spletnem naslovu </w:t>
      </w:r>
      <w:hyperlink r:id="rId23" w:history="1">
        <w:r w:rsidR="00895FCF" w:rsidRPr="00E32516">
          <w:rPr>
            <w:rStyle w:val="Hyperlink"/>
          </w:rPr>
          <w:t>http://www.siol.net/avtomoto/novice/kratke/2012/05/adria_mobil_poslovanje_2011.aspx</w:t>
        </w:r>
      </w:hyperlink>
      <w:r w:rsidR="00895FCF">
        <w:t xml:space="preserve"> </w:t>
      </w:r>
    </w:p>
    <w:p w:rsidR="007D3449" w:rsidRDefault="00400D0B" w:rsidP="00400D0B">
      <w:pPr>
        <w:pStyle w:val="ListParagraph"/>
        <w:numPr>
          <w:ilvl w:val="0"/>
          <w:numId w:val="5"/>
        </w:numPr>
      </w:pPr>
      <w:r>
        <w:t>CIVD (2012, 15. April</w:t>
      </w:r>
      <w:r w:rsidRPr="00DF483E">
        <w:rPr>
          <w:i/>
        </w:rPr>
        <w:t xml:space="preserve">). </w:t>
      </w:r>
      <w:proofErr w:type="spellStart"/>
      <w:r w:rsidRPr="00DF483E">
        <w:rPr>
          <w:i/>
        </w:rPr>
        <w:t>The</w:t>
      </w:r>
      <w:proofErr w:type="spellEnd"/>
      <w:r w:rsidRPr="00DF483E">
        <w:rPr>
          <w:i/>
        </w:rPr>
        <w:t xml:space="preserve"> </w:t>
      </w:r>
      <w:proofErr w:type="spellStart"/>
      <w:r w:rsidRPr="00DF483E">
        <w:rPr>
          <w:i/>
        </w:rPr>
        <w:t>European</w:t>
      </w:r>
      <w:proofErr w:type="spellEnd"/>
      <w:r w:rsidRPr="00DF483E">
        <w:rPr>
          <w:i/>
        </w:rPr>
        <w:t xml:space="preserve"> </w:t>
      </w:r>
      <w:proofErr w:type="spellStart"/>
      <w:r w:rsidRPr="00DF483E">
        <w:rPr>
          <w:i/>
        </w:rPr>
        <w:t>caravan</w:t>
      </w:r>
      <w:proofErr w:type="spellEnd"/>
      <w:r w:rsidRPr="00DF483E">
        <w:rPr>
          <w:i/>
        </w:rPr>
        <w:t xml:space="preserve"> market</w:t>
      </w:r>
      <w:r>
        <w:t xml:space="preserve">. Najdeno 5. Junija 2012 na spletnem naslovu </w:t>
      </w:r>
      <w:hyperlink r:id="rId24" w:history="1">
        <w:r w:rsidRPr="00E32516">
          <w:rPr>
            <w:rStyle w:val="Hyperlink"/>
          </w:rPr>
          <w:t>http://www.civd.de/en/caravaning/market-figures/europe-caravans/</w:t>
        </w:r>
      </w:hyperlink>
    </w:p>
    <w:p w:rsidR="00400D0B" w:rsidRDefault="00400D0B" w:rsidP="00400D0B">
      <w:pPr>
        <w:pStyle w:val="ListParagraph"/>
        <w:numPr>
          <w:ilvl w:val="0"/>
          <w:numId w:val="5"/>
        </w:numPr>
      </w:pPr>
      <w:r>
        <w:t>CIVD (2012, 15. April).</w:t>
      </w:r>
      <w:r w:rsidR="00DF483E">
        <w:t xml:space="preserve"> </w:t>
      </w:r>
      <w:proofErr w:type="spellStart"/>
      <w:r w:rsidRPr="00DF483E">
        <w:rPr>
          <w:i/>
        </w:rPr>
        <w:t>Leisure</w:t>
      </w:r>
      <w:proofErr w:type="spellEnd"/>
      <w:r w:rsidRPr="00DF483E">
        <w:rPr>
          <w:i/>
        </w:rPr>
        <w:t xml:space="preserve"> </w:t>
      </w:r>
      <w:proofErr w:type="spellStart"/>
      <w:r w:rsidRPr="00DF483E">
        <w:rPr>
          <w:i/>
        </w:rPr>
        <w:t>vehicles</w:t>
      </w:r>
      <w:proofErr w:type="spellEnd"/>
      <w:r w:rsidRPr="00DF483E">
        <w:rPr>
          <w:i/>
        </w:rPr>
        <w:t xml:space="preserve"> </w:t>
      </w:r>
      <w:proofErr w:type="spellStart"/>
      <w:r w:rsidRPr="00DF483E">
        <w:rPr>
          <w:i/>
        </w:rPr>
        <w:t>worldwide</w:t>
      </w:r>
      <w:proofErr w:type="spellEnd"/>
      <w:r>
        <w:t xml:space="preserve">. Najdeno 5. Junija 2012 na spletnem naslovu </w:t>
      </w:r>
      <w:hyperlink r:id="rId25" w:history="1">
        <w:r w:rsidRPr="00E32516">
          <w:rPr>
            <w:rStyle w:val="Hyperlink"/>
          </w:rPr>
          <w:t>http://www.civd.de/en/caravaning/market-figures/worldwide-leisure-vehicle-market/</w:t>
        </w:r>
      </w:hyperlink>
    </w:p>
    <w:p w:rsidR="00400D0B" w:rsidRDefault="00391821" w:rsidP="00391821">
      <w:pPr>
        <w:pStyle w:val="ListParagraph"/>
        <w:numPr>
          <w:ilvl w:val="0"/>
          <w:numId w:val="5"/>
        </w:numPr>
      </w:pPr>
      <w:r>
        <w:t xml:space="preserve">CIVD (2010, 28. April). </w:t>
      </w:r>
      <w:proofErr w:type="spellStart"/>
      <w:r w:rsidRPr="00DF483E">
        <w:rPr>
          <w:i/>
        </w:rPr>
        <w:t>The</w:t>
      </w:r>
      <w:proofErr w:type="spellEnd"/>
      <w:r w:rsidRPr="00DF483E">
        <w:rPr>
          <w:i/>
        </w:rPr>
        <w:t xml:space="preserve"> </w:t>
      </w:r>
      <w:proofErr w:type="spellStart"/>
      <w:r w:rsidRPr="00DF483E">
        <w:rPr>
          <w:i/>
        </w:rPr>
        <w:t>European</w:t>
      </w:r>
      <w:proofErr w:type="spellEnd"/>
      <w:r w:rsidRPr="00DF483E">
        <w:rPr>
          <w:i/>
        </w:rPr>
        <w:t xml:space="preserve"> </w:t>
      </w:r>
      <w:proofErr w:type="spellStart"/>
      <w:r w:rsidRPr="00DF483E">
        <w:rPr>
          <w:i/>
        </w:rPr>
        <w:t>tourism</w:t>
      </w:r>
      <w:proofErr w:type="spellEnd"/>
      <w:r w:rsidRPr="00DF483E">
        <w:rPr>
          <w:i/>
        </w:rPr>
        <w:t xml:space="preserve"> market</w:t>
      </w:r>
      <w:r>
        <w:t xml:space="preserve">. Najdeno 5. Junija 2012 na spletnem naslovu </w:t>
      </w:r>
      <w:hyperlink r:id="rId26" w:history="1">
        <w:r w:rsidRPr="00E32516">
          <w:rPr>
            <w:rStyle w:val="Hyperlink"/>
          </w:rPr>
          <w:t>http://www.civd.de/en/caravaning/touristik/the-european-tourism-marktet/</w:t>
        </w:r>
      </w:hyperlink>
    </w:p>
    <w:p w:rsidR="00391821" w:rsidRDefault="00391821" w:rsidP="00391821">
      <w:pPr>
        <w:pStyle w:val="ListParagraph"/>
        <w:numPr>
          <w:ilvl w:val="0"/>
          <w:numId w:val="5"/>
        </w:numPr>
      </w:pPr>
      <w:r>
        <w:t xml:space="preserve">CIVD </w:t>
      </w:r>
      <w:proofErr w:type="spellStart"/>
      <w:r>
        <w:t>Annual</w:t>
      </w:r>
      <w:proofErr w:type="spellEnd"/>
      <w:r>
        <w:t xml:space="preserve"> </w:t>
      </w:r>
      <w:proofErr w:type="spellStart"/>
      <w:r>
        <w:t>Report</w:t>
      </w:r>
      <w:proofErr w:type="spellEnd"/>
      <w:r>
        <w:t xml:space="preserve"> 2011/2012. Najdeno 5. Junija 2012 na spletnem naslovu </w:t>
      </w:r>
      <w:hyperlink r:id="rId27" w:history="1">
        <w:r w:rsidRPr="00E32516">
          <w:rPr>
            <w:rStyle w:val="Hyperlink"/>
          </w:rPr>
          <w:t>http://www.civd.de/fileadmin/civd/pdf/Jahresbericht_11_12.pdf</w:t>
        </w:r>
      </w:hyperlink>
    </w:p>
    <w:p w:rsidR="00391821" w:rsidRDefault="00391821" w:rsidP="00391821">
      <w:pPr>
        <w:pStyle w:val="ListParagraph"/>
        <w:numPr>
          <w:ilvl w:val="0"/>
          <w:numId w:val="5"/>
        </w:numPr>
      </w:pPr>
      <w:r>
        <w:t xml:space="preserve">ECF (2012, 18. Maj). </w:t>
      </w:r>
      <w:proofErr w:type="spellStart"/>
      <w:r>
        <w:t>Registrations</w:t>
      </w:r>
      <w:proofErr w:type="spellEnd"/>
      <w:r>
        <w:t xml:space="preserve"> </w:t>
      </w:r>
      <w:proofErr w:type="spellStart"/>
      <w:r>
        <w:t>of</w:t>
      </w:r>
      <w:proofErr w:type="spellEnd"/>
      <w:r>
        <w:t xml:space="preserve"> </w:t>
      </w:r>
      <w:proofErr w:type="spellStart"/>
      <w:r>
        <w:t>new</w:t>
      </w:r>
      <w:proofErr w:type="spellEnd"/>
      <w:r>
        <w:t xml:space="preserve"> </w:t>
      </w:r>
      <w:proofErr w:type="spellStart"/>
      <w:r>
        <w:t>Leisure</w:t>
      </w:r>
      <w:proofErr w:type="spellEnd"/>
      <w:r>
        <w:t xml:space="preserve"> </w:t>
      </w:r>
      <w:proofErr w:type="spellStart"/>
      <w:r>
        <w:t>Vehicles</w:t>
      </w:r>
      <w:proofErr w:type="spellEnd"/>
      <w:r>
        <w:t xml:space="preserve"> I. </w:t>
      </w:r>
      <w:proofErr w:type="spellStart"/>
      <w:r>
        <w:t>Quarter</w:t>
      </w:r>
      <w:proofErr w:type="spellEnd"/>
      <w:r>
        <w:t xml:space="preserve"> 2012. Najdeno 5. Junija 2012 na spletnem naslovu </w:t>
      </w:r>
      <w:hyperlink r:id="rId28" w:history="1">
        <w:r w:rsidRPr="00E32516">
          <w:rPr>
            <w:rStyle w:val="Hyperlink"/>
          </w:rPr>
          <w:t>http://www.e-c-f.com/fileadmin/templates/4825/images/statistics/europazul-1.pdf</w:t>
        </w:r>
      </w:hyperlink>
    </w:p>
    <w:p w:rsidR="00391821" w:rsidRDefault="00274EAE" w:rsidP="00274EAE">
      <w:pPr>
        <w:pStyle w:val="ListParagraph"/>
        <w:numPr>
          <w:ilvl w:val="0"/>
          <w:numId w:val="5"/>
        </w:numPr>
      </w:pPr>
      <w:proofErr w:type="spellStart"/>
      <w:r>
        <w:t>Eurostat</w:t>
      </w:r>
      <w:proofErr w:type="spellEnd"/>
      <w:r>
        <w:t xml:space="preserve"> – Real GDP </w:t>
      </w:r>
      <w:proofErr w:type="spellStart"/>
      <w:r>
        <w:t>growth</w:t>
      </w:r>
      <w:proofErr w:type="spellEnd"/>
      <w:r>
        <w:t xml:space="preserve"> </w:t>
      </w:r>
      <w:proofErr w:type="spellStart"/>
      <w:r>
        <w:t>rate</w:t>
      </w:r>
      <w:proofErr w:type="spellEnd"/>
      <w:r>
        <w:t xml:space="preserve"> – </w:t>
      </w:r>
      <w:proofErr w:type="spellStart"/>
      <w:r>
        <w:t>volume</w:t>
      </w:r>
      <w:proofErr w:type="spellEnd"/>
      <w:r>
        <w:t xml:space="preserve">. Najdeno 5. Junija 2012 na spletnem naslovu </w:t>
      </w:r>
      <w:hyperlink r:id="rId29" w:history="1">
        <w:r w:rsidRPr="00E32516">
          <w:rPr>
            <w:rStyle w:val="Hyperlink"/>
          </w:rPr>
          <w:t>http://epp.eurostat.ec.europa.eu/tgm/table.do?tab=table&amp;plugin=1&amp;language=en&amp;pcode=tsieb020</w:t>
        </w:r>
      </w:hyperlink>
    </w:p>
    <w:p w:rsidR="00274EAE" w:rsidRDefault="00DF483E" w:rsidP="00DF483E">
      <w:pPr>
        <w:pStyle w:val="ListParagraph"/>
        <w:numPr>
          <w:ilvl w:val="0"/>
          <w:numId w:val="5"/>
        </w:numPr>
      </w:pPr>
      <w:r>
        <w:t xml:space="preserve">Podatki za podjetje </w:t>
      </w:r>
      <w:proofErr w:type="spellStart"/>
      <w:r>
        <w:t>Thor</w:t>
      </w:r>
      <w:proofErr w:type="spellEnd"/>
      <w:r>
        <w:t xml:space="preserve"> </w:t>
      </w:r>
      <w:proofErr w:type="spellStart"/>
      <w:r>
        <w:t>Industries</w:t>
      </w:r>
      <w:proofErr w:type="spellEnd"/>
      <w:r>
        <w:t xml:space="preserve"> </w:t>
      </w:r>
      <w:proofErr w:type="spellStart"/>
      <w:r>
        <w:t>Inc</w:t>
      </w:r>
      <w:proofErr w:type="spellEnd"/>
      <w:r>
        <w:t xml:space="preserve">. Najdeno 6. Junija 2012 na spletnem naslovu </w:t>
      </w:r>
      <w:hyperlink r:id="rId30" w:history="1">
        <w:r w:rsidRPr="00E32516">
          <w:rPr>
            <w:rStyle w:val="Hyperlink"/>
          </w:rPr>
          <w:t>http://www.marketwatch.com/investing/stock/THO/analystestimates?subview=snapshot&amp;pg=analyst</w:t>
        </w:r>
      </w:hyperlink>
    </w:p>
    <w:p w:rsidR="00DF483E" w:rsidRDefault="00DF483E" w:rsidP="00DF483E">
      <w:pPr>
        <w:pStyle w:val="ListParagraph"/>
        <w:numPr>
          <w:ilvl w:val="0"/>
          <w:numId w:val="5"/>
        </w:numPr>
      </w:pPr>
      <w:r>
        <w:lastRenderedPageBreak/>
        <w:t xml:space="preserve">Podatki za podjetje </w:t>
      </w:r>
      <w:proofErr w:type="spellStart"/>
      <w:r>
        <w:t>Thor</w:t>
      </w:r>
      <w:proofErr w:type="spellEnd"/>
      <w:r>
        <w:t xml:space="preserve"> </w:t>
      </w:r>
      <w:proofErr w:type="spellStart"/>
      <w:r>
        <w:t>Industries</w:t>
      </w:r>
      <w:proofErr w:type="spellEnd"/>
      <w:r>
        <w:t xml:space="preserve"> </w:t>
      </w:r>
      <w:proofErr w:type="spellStart"/>
      <w:r>
        <w:t>Inc</w:t>
      </w:r>
      <w:proofErr w:type="spellEnd"/>
      <w:r>
        <w:t xml:space="preserve">. Najdeno 6. Junija 2012 na spletnem naslovu </w:t>
      </w:r>
      <w:hyperlink r:id="rId31" w:history="1">
        <w:r w:rsidRPr="00E32516">
          <w:rPr>
            <w:rStyle w:val="Hyperlink"/>
          </w:rPr>
          <w:t>http://www.google.com/finance?q=NYSE:THO</w:t>
        </w:r>
      </w:hyperlink>
    </w:p>
    <w:p w:rsidR="00DF483E" w:rsidRDefault="00DF483E" w:rsidP="00DF483E">
      <w:pPr>
        <w:pStyle w:val="ListParagraph"/>
        <w:numPr>
          <w:ilvl w:val="0"/>
          <w:numId w:val="5"/>
        </w:numPr>
      </w:pPr>
      <w:r>
        <w:t xml:space="preserve">Podatki za podjetje </w:t>
      </w:r>
      <w:proofErr w:type="spellStart"/>
      <w:r>
        <w:t>Winnebago</w:t>
      </w:r>
      <w:proofErr w:type="spellEnd"/>
      <w:r>
        <w:t xml:space="preserve"> </w:t>
      </w:r>
      <w:proofErr w:type="spellStart"/>
      <w:r>
        <w:t>Industries</w:t>
      </w:r>
      <w:proofErr w:type="spellEnd"/>
      <w:r>
        <w:t xml:space="preserve"> </w:t>
      </w:r>
      <w:proofErr w:type="spellStart"/>
      <w:r>
        <w:t>Inc</w:t>
      </w:r>
      <w:proofErr w:type="spellEnd"/>
      <w:r>
        <w:t xml:space="preserve">. Najdeno 6. Junija 2012 na spletnem naslovu </w:t>
      </w:r>
      <w:hyperlink r:id="rId32" w:history="1">
        <w:r w:rsidRPr="00E32516">
          <w:rPr>
            <w:rStyle w:val="Hyperlink"/>
          </w:rPr>
          <w:t>http://www.google.com/finance?q=NYSE%3AWGO</w:t>
        </w:r>
      </w:hyperlink>
    </w:p>
    <w:p w:rsidR="00DF483E" w:rsidRDefault="00DF483E" w:rsidP="00DF483E">
      <w:pPr>
        <w:pStyle w:val="ListParagraph"/>
        <w:numPr>
          <w:ilvl w:val="0"/>
          <w:numId w:val="5"/>
        </w:numPr>
      </w:pPr>
      <w:r>
        <w:t>Podržaj, A</w:t>
      </w:r>
      <w:r w:rsidRPr="00DF483E">
        <w:rPr>
          <w:i/>
        </w:rPr>
        <w:t>. Diplomski delo – Vrednotenje podjetja Telekom Slovenije, d.d</w:t>
      </w:r>
      <w:r>
        <w:t xml:space="preserve">. Najdeno 8. Junija 2012 na spletnem naslovu </w:t>
      </w:r>
      <w:hyperlink r:id="rId33" w:history="1">
        <w:r w:rsidRPr="00E32516">
          <w:rPr>
            <w:rStyle w:val="Hyperlink"/>
          </w:rPr>
          <w:t>http://www.cek.ef.uni-lj.si/u_diplome/podrzaj4520.pdf</w:t>
        </w:r>
      </w:hyperlink>
    </w:p>
    <w:p w:rsidR="00DF483E" w:rsidRDefault="00693510" w:rsidP="00DF483E">
      <w:pPr>
        <w:pStyle w:val="ListParagraph"/>
        <w:numPr>
          <w:ilvl w:val="0"/>
          <w:numId w:val="5"/>
        </w:numPr>
      </w:pPr>
      <w:r>
        <w:t xml:space="preserve">Thompson </w:t>
      </w:r>
      <w:proofErr w:type="spellStart"/>
      <w:r>
        <w:t>Datastream</w:t>
      </w:r>
      <w:proofErr w:type="spellEnd"/>
      <w:r>
        <w:t xml:space="preserve"> baza podatkov za javne delniške družbe</w:t>
      </w:r>
    </w:p>
    <w:p w:rsidR="00693510" w:rsidRDefault="00693510" w:rsidP="00B47339">
      <w:pPr>
        <w:pStyle w:val="ListParagraph"/>
        <w:numPr>
          <w:ilvl w:val="0"/>
          <w:numId w:val="5"/>
        </w:numPr>
      </w:pPr>
      <w:proofErr w:type="spellStart"/>
      <w:r>
        <w:t>Da</w:t>
      </w:r>
      <w:r w:rsidR="00B47339">
        <w:t>modaran</w:t>
      </w:r>
      <w:proofErr w:type="spellEnd"/>
      <w:r w:rsidR="00B47339">
        <w:t xml:space="preserve"> </w:t>
      </w:r>
      <w:proofErr w:type="spellStart"/>
      <w:r w:rsidR="00B47339">
        <w:t>Online</w:t>
      </w:r>
      <w:proofErr w:type="spellEnd"/>
      <w:r w:rsidR="00B47339">
        <w:t xml:space="preserve">. Najdeno 13. Junija 2012 na spletnem naslovu </w:t>
      </w:r>
      <w:hyperlink r:id="rId34" w:history="1">
        <w:r w:rsidR="00B47339" w:rsidRPr="00E32516">
          <w:rPr>
            <w:rStyle w:val="Hyperlink"/>
          </w:rPr>
          <w:t>http://pages.stern.nyu.edu/~adamodar/</w:t>
        </w:r>
      </w:hyperlink>
      <w:r w:rsidR="00B47339">
        <w:t xml:space="preserve"> </w:t>
      </w:r>
    </w:p>
    <w:p w:rsidR="001747A4" w:rsidRPr="009C345B" w:rsidRDefault="001747A4" w:rsidP="00B47339">
      <w:pPr>
        <w:pStyle w:val="ListParagraph"/>
        <w:numPr>
          <w:ilvl w:val="0"/>
          <w:numId w:val="5"/>
        </w:numPr>
      </w:pPr>
      <w:r>
        <w:t>Prosojnice predavanj za predmet Finančna analiza 1 (šolsko leto 2011/2012)</w:t>
      </w:r>
    </w:p>
    <w:sectPr w:rsidR="001747A4" w:rsidRPr="009C345B" w:rsidSect="00273D8E">
      <w:footerReference w:type="default" r:id="rId3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8B" w:rsidRDefault="00293E8B" w:rsidP="00A33C0A">
      <w:pPr>
        <w:spacing w:after="0" w:line="240" w:lineRule="auto"/>
      </w:pPr>
      <w:r>
        <w:separator/>
      </w:r>
    </w:p>
  </w:endnote>
  <w:endnote w:type="continuationSeparator" w:id="0">
    <w:p w:rsidR="00293E8B" w:rsidRDefault="00293E8B" w:rsidP="00A3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60343"/>
      <w:docPartObj>
        <w:docPartGallery w:val="Page Numbers (Bottom of Page)"/>
        <w:docPartUnique/>
      </w:docPartObj>
    </w:sdtPr>
    <w:sdtEndPr>
      <w:rPr>
        <w:noProof/>
      </w:rPr>
    </w:sdtEndPr>
    <w:sdtContent>
      <w:p w:rsidR="003E1F97" w:rsidRDefault="005A3C60">
        <w:pPr>
          <w:pStyle w:val="Footer"/>
          <w:jc w:val="center"/>
        </w:pPr>
        <w:r>
          <w:fldChar w:fldCharType="begin"/>
        </w:r>
        <w:r w:rsidR="003E1F97">
          <w:instrText xml:space="preserve"> PAGE   \* MERGEFORMAT </w:instrText>
        </w:r>
        <w:r>
          <w:fldChar w:fldCharType="separate"/>
        </w:r>
        <w:r w:rsidR="00782D63">
          <w:rPr>
            <w:noProof/>
          </w:rPr>
          <w:t>i</w:t>
        </w:r>
        <w:r>
          <w:rPr>
            <w:noProof/>
          </w:rPr>
          <w:fldChar w:fldCharType="end"/>
        </w:r>
      </w:p>
    </w:sdtContent>
  </w:sdt>
  <w:p w:rsidR="003E1F97" w:rsidRDefault="003E1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282092"/>
      <w:docPartObj>
        <w:docPartGallery w:val="Page Numbers (Bottom of Page)"/>
        <w:docPartUnique/>
      </w:docPartObj>
    </w:sdtPr>
    <w:sdtEndPr>
      <w:rPr>
        <w:noProof/>
      </w:rPr>
    </w:sdtEndPr>
    <w:sdtContent>
      <w:p w:rsidR="003E1F97" w:rsidRDefault="005A3C60">
        <w:pPr>
          <w:pStyle w:val="Footer"/>
          <w:jc w:val="center"/>
        </w:pPr>
        <w:r>
          <w:fldChar w:fldCharType="begin"/>
        </w:r>
        <w:r w:rsidR="003E1F97">
          <w:instrText xml:space="preserve"> PAGE   \* MERGEFORMAT </w:instrText>
        </w:r>
        <w:r>
          <w:fldChar w:fldCharType="separate"/>
        </w:r>
        <w:r w:rsidR="00782D63">
          <w:rPr>
            <w:noProof/>
          </w:rPr>
          <w:t>21</w:t>
        </w:r>
        <w:r>
          <w:rPr>
            <w:noProof/>
          </w:rPr>
          <w:fldChar w:fldCharType="end"/>
        </w:r>
      </w:p>
    </w:sdtContent>
  </w:sdt>
  <w:p w:rsidR="003E1F97" w:rsidRDefault="003E1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8B" w:rsidRDefault="00293E8B" w:rsidP="00A33C0A">
      <w:pPr>
        <w:spacing w:after="0" w:line="240" w:lineRule="auto"/>
      </w:pPr>
      <w:r>
        <w:separator/>
      </w:r>
    </w:p>
  </w:footnote>
  <w:footnote w:type="continuationSeparator" w:id="0">
    <w:p w:rsidR="00293E8B" w:rsidRDefault="00293E8B" w:rsidP="00A33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35F7"/>
    <w:multiLevelType w:val="multilevel"/>
    <w:tmpl w:val="10947514"/>
    <w:lvl w:ilvl="0">
      <w:start w:val="1"/>
      <w:numFmt w:val="decimal"/>
      <w:lvlText w:val="%1."/>
      <w:lvlJc w:val="left"/>
      <w:pPr>
        <w:ind w:left="1197" w:hanging="63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54537E"/>
    <w:multiLevelType w:val="hybridMultilevel"/>
    <w:tmpl w:val="20420B1E"/>
    <w:lvl w:ilvl="0" w:tplc="9CEA4D40">
      <w:start w:val="102"/>
      <w:numFmt w:val="bullet"/>
      <w:lvlText w:val="-"/>
      <w:lvlJc w:val="left"/>
      <w:pPr>
        <w:ind w:left="720" w:hanging="360"/>
      </w:pPr>
      <w:rPr>
        <w:rFonts w:ascii="Cambria" w:eastAsiaTheme="minorHAnsi" w:hAnsi="Cambria"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05E30FB"/>
    <w:multiLevelType w:val="hybridMultilevel"/>
    <w:tmpl w:val="80BAE2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60D3026"/>
    <w:multiLevelType w:val="multilevel"/>
    <w:tmpl w:val="BA7E1960"/>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0D65DBB"/>
    <w:multiLevelType w:val="hybridMultilevel"/>
    <w:tmpl w:val="00E0DA74"/>
    <w:lvl w:ilvl="0" w:tplc="5888DC0A">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6DF5080"/>
    <w:multiLevelType w:val="hybridMultilevel"/>
    <w:tmpl w:val="CB96DB2E"/>
    <w:lvl w:ilvl="0" w:tplc="4E2695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1BF0FC6"/>
    <w:multiLevelType w:val="hybridMultilevel"/>
    <w:tmpl w:val="0548E448"/>
    <w:lvl w:ilvl="0" w:tplc="1DE423E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1015"/>
    <w:rsid w:val="00007D5B"/>
    <w:rsid w:val="000446F7"/>
    <w:rsid w:val="000502E1"/>
    <w:rsid w:val="000551BF"/>
    <w:rsid w:val="00066103"/>
    <w:rsid w:val="00072619"/>
    <w:rsid w:val="000807BD"/>
    <w:rsid w:val="00090E15"/>
    <w:rsid w:val="0009228C"/>
    <w:rsid w:val="000A3165"/>
    <w:rsid w:val="000A4359"/>
    <w:rsid w:val="000A5165"/>
    <w:rsid w:val="000C109F"/>
    <w:rsid w:val="000C7434"/>
    <w:rsid w:val="000E272B"/>
    <w:rsid w:val="000F28DD"/>
    <w:rsid w:val="000F7E0F"/>
    <w:rsid w:val="00127675"/>
    <w:rsid w:val="001328F7"/>
    <w:rsid w:val="00132E9A"/>
    <w:rsid w:val="00142300"/>
    <w:rsid w:val="00152347"/>
    <w:rsid w:val="001673CA"/>
    <w:rsid w:val="001747A4"/>
    <w:rsid w:val="00176ACA"/>
    <w:rsid w:val="00181770"/>
    <w:rsid w:val="00190A22"/>
    <w:rsid w:val="0019486F"/>
    <w:rsid w:val="001958F3"/>
    <w:rsid w:val="0019782D"/>
    <w:rsid w:val="001A2CEF"/>
    <w:rsid w:val="001A67DA"/>
    <w:rsid w:val="001B0CC6"/>
    <w:rsid w:val="001B24A8"/>
    <w:rsid w:val="001B75E2"/>
    <w:rsid w:val="001C3A51"/>
    <w:rsid w:val="001C536D"/>
    <w:rsid w:val="001F5E48"/>
    <w:rsid w:val="00211CB8"/>
    <w:rsid w:val="00212EAB"/>
    <w:rsid w:val="00213AC8"/>
    <w:rsid w:val="00254958"/>
    <w:rsid w:val="00266AB7"/>
    <w:rsid w:val="00270662"/>
    <w:rsid w:val="00273D8E"/>
    <w:rsid w:val="00274EAE"/>
    <w:rsid w:val="002830D0"/>
    <w:rsid w:val="00293E8B"/>
    <w:rsid w:val="002B03C9"/>
    <w:rsid w:val="002B2986"/>
    <w:rsid w:val="002C092B"/>
    <w:rsid w:val="002E779C"/>
    <w:rsid w:val="002F04D4"/>
    <w:rsid w:val="002F6542"/>
    <w:rsid w:val="002F79F0"/>
    <w:rsid w:val="00335974"/>
    <w:rsid w:val="003366EB"/>
    <w:rsid w:val="003724E0"/>
    <w:rsid w:val="00375659"/>
    <w:rsid w:val="00376665"/>
    <w:rsid w:val="0038639B"/>
    <w:rsid w:val="00391821"/>
    <w:rsid w:val="0039740B"/>
    <w:rsid w:val="003A4037"/>
    <w:rsid w:val="003A4E19"/>
    <w:rsid w:val="003B6B77"/>
    <w:rsid w:val="003B70A3"/>
    <w:rsid w:val="003C7586"/>
    <w:rsid w:val="003C7C73"/>
    <w:rsid w:val="003D1351"/>
    <w:rsid w:val="003D4448"/>
    <w:rsid w:val="003D4CA9"/>
    <w:rsid w:val="003E1F97"/>
    <w:rsid w:val="003F0ACB"/>
    <w:rsid w:val="003F525E"/>
    <w:rsid w:val="00400BF3"/>
    <w:rsid w:val="00400D0B"/>
    <w:rsid w:val="00400D52"/>
    <w:rsid w:val="00401566"/>
    <w:rsid w:val="00425ED1"/>
    <w:rsid w:val="0043522A"/>
    <w:rsid w:val="00440F0E"/>
    <w:rsid w:val="00446A80"/>
    <w:rsid w:val="00451C39"/>
    <w:rsid w:val="00492888"/>
    <w:rsid w:val="0049315A"/>
    <w:rsid w:val="004E4AF0"/>
    <w:rsid w:val="004E69B5"/>
    <w:rsid w:val="004E6A4A"/>
    <w:rsid w:val="004E7703"/>
    <w:rsid w:val="004F34C8"/>
    <w:rsid w:val="004F489B"/>
    <w:rsid w:val="004F70D5"/>
    <w:rsid w:val="00502CF8"/>
    <w:rsid w:val="0050366E"/>
    <w:rsid w:val="00504760"/>
    <w:rsid w:val="005617A4"/>
    <w:rsid w:val="00564368"/>
    <w:rsid w:val="0059735F"/>
    <w:rsid w:val="005A15B6"/>
    <w:rsid w:val="005A3C60"/>
    <w:rsid w:val="005A7B44"/>
    <w:rsid w:val="005C5326"/>
    <w:rsid w:val="005D2D2F"/>
    <w:rsid w:val="00603FA2"/>
    <w:rsid w:val="0064512A"/>
    <w:rsid w:val="00650304"/>
    <w:rsid w:val="006642DB"/>
    <w:rsid w:val="00664B27"/>
    <w:rsid w:val="0067069B"/>
    <w:rsid w:val="00693510"/>
    <w:rsid w:val="00693C2D"/>
    <w:rsid w:val="006A1668"/>
    <w:rsid w:val="006A2FAA"/>
    <w:rsid w:val="006A5229"/>
    <w:rsid w:val="006B4BE9"/>
    <w:rsid w:val="006C31AC"/>
    <w:rsid w:val="006E747E"/>
    <w:rsid w:val="00714951"/>
    <w:rsid w:val="00717998"/>
    <w:rsid w:val="007273A2"/>
    <w:rsid w:val="00740B47"/>
    <w:rsid w:val="007505BF"/>
    <w:rsid w:val="0075086A"/>
    <w:rsid w:val="00752290"/>
    <w:rsid w:val="0075360A"/>
    <w:rsid w:val="00753C43"/>
    <w:rsid w:val="0075702B"/>
    <w:rsid w:val="0077114E"/>
    <w:rsid w:val="00782D63"/>
    <w:rsid w:val="0079217F"/>
    <w:rsid w:val="00794C55"/>
    <w:rsid w:val="007A37CE"/>
    <w:rsid w:val="007A7E64"/>
    <w:rsid w:val="007B17AC"/>
    <w:rsid w:val="007B351B"/>
    <w:rsid w:val="007D3449"/>
    <w:rsid w:val="007D525A"/>
    <w:rsid w:val="007D67D1"/>
    <w:rsid w:val="007E58B3"/>
    <w:rsid w:val="007F59C4"/>
    <w:rsid w:val="007F5FEA"/>
    <w:rsid w:val="0080332F"/>
    <w:rsid w:val="00805AD0"/>
    <w:rsid w:val="00816703"/>
    <w:rsid w:val="0083128A"/>
    <w:rsid w:val="00833600"/>
    <w:rsid w:val="00840DF3"/>
    <w:rsid w:val="00843B90"/>
    <w:rsid w:val="00844F49"/>
    <w:rsid w:val="00846AAA"/>
    <w:rsid w:val="00851879"/>
    <w:rsid w:val="00856B45"/>
    <w:rsid w:val="00865E66"/>
    <w:rsid w:val="008720D1"/>
    <w:rsid w:val="008766CC"/>
    <w:rsid w:val="0088140C"/>
    <w:rsid w:val="008938A9"/>
    <w:rsid w:val="00895FCF"/>
    <w:rsid w:val="008A65AF"/>
    <w:rsid w:val="008B360F"/>
    <w:rsid w:val="008C0DDD"/>
    <w:rsid w:val="008C1DB9"/>
    <w:rsid w:val="008C667B"/>
    <w:rsid w:val="008C6982"/>
    <w:rsid w:val="008D0C6A"/>
    <w:rsid w:val="008D3BD5"/>
    <w:rsid w:val="008D42AD"/>
    <w:rsid w:val="008E4A06"/>
    <w:rsid w:val="00916120"/>
    <w:rsid w:val="00924A4A"/>
    <w:rsid w:val="00930F09"/>
    <w:rsid w:val="00941883"/>
    <w:rsid w:val="009510F0"/>
    <w:rsid w:val="0096557C"/>
    <w:rsid w:val="0097091D"/>
    <w:rsid w:val="009757C4"/>
    <w:rsid w:val="00976171"/>
    <w:rsid w:val="00982AEE"/>
    <w:rsid w:val="00986878"/>
    <w:rsid w:val="00990341"/>
    <w:rsid w:val="00991B63"/>
    <w:rsid w:val="0099473D"/>
    <w:rsid w:val="00994D65"/>
    <w:rsid w:val="009C345B"/>
    <w:rsid w:val="009E7565"/>
    <w:rsid w:val="009F3546"/>
    <w:rsid w:val="009F4184"/>
    <w:rsid w:val="009F450D"/>
    <w:rsid w:val="00A0304D"/>
    <w:rsid w:val="00A13F00"/>
    <w:rsid w:val="00A32294"/>
    <w:rsid w:val="00A33770"/>
    <w:rsid w:val="00A33C0A"/>
    <w:rsid w:val="00A43EAD"/>
    <w:rsid w:val="00A50B04"/>
    <w:rsid w:val="00A51F90"/>
    <w:rsid w:val="00A52120"/>
    <w:rsid w:val="00A54EF6"/>
    <w:rsid w:val="00A85C45"/>
    <w:rsid w:val="00A97897"/>
    <w:rsid w:val="00AA085E"/>
    <w:rsid w:val="00AD05EE"/>
    <w:rsid w:val="00AD6EDE"/>
    <w:rsid w:val="00AD771A"/>
    <w:rsid w:val="00AF32F5"/>
    <w:rsid w:val="00B35273"/>
    <w:rsid w:val="00B37D7F"/>
    <w:rsid w:val="00B42BF6"/>
    <w:rsid w:val="00B47339"/>
    <w:rsid w:val="00B5035F"/>
    <w:rsid w:val="00B549DD"/>
    <w:rsid w:val="00B60517"/>
    <w:rsid w:val="00B7020C"/>
    <w:rsid w:val="00B71D49"/>
    <w:rsid w:val="00B81450"/>
    <w:rsid w:val="00B8649A"/>
    <w:rsid w:val="00BB6B57"/>
    <w:rsid w:val="00BD0572"/>
    <w:rsid w:val="00BE2007"/>
    <w:rsid w:val="00BE3A50"/>
    <w:rsid w:val="00BF32C2"/>
    <w:rsid w:val="00BF69FC"/>
    <w:rsid w:val="00C11054"/>
    <w:rsid w:val="00C267C7"/>
    <w:rsid w:val="00C36100"/>
    <w:rsid w:val="00C94B2E"/>
    <w:rsid w:val="00CA2295"/>
    <w:rsid w:val="00CA3F88"/>
    <w:rsid w:val="00CC0315"/>
    <w:rsid w:val="00CC7D69"/>
    <w:rsid w:val="00CD5E74"/>
    <w:rsid w:val="00CE02F5"/>
    <w:rsid w:val="00CE5A8E"/>
    <w:rsid w:val="00D02D62"/>
    <w:rsid w:val="00D13FB3"/>
    <w:rsid w:val="00D20889"/>
    <w:rsid w:val="00D21E97"/>
    <w:rsid w:val="00D35108"/>
    <w:rsid w:val="00D4162C"/>
    <w:rsid w:val="00D462BC"/>
    <w:rsid w:val="00D51015"/>
    <w:rsid w:val="00D54C12"/>
    <w:rsid w:val="00D5666A"/>
    <w:rsid w:val="00D66572"/>
    <w:rsid w:val="00D73842"/>
    <w:rsid w:val="00DA0317"/>
    <w:rsid w:val="00DA0F81"/>
    <w:rsid w:val="00DB7E1A"/>
    <w:rsid w:val="00DC05A2"/>
    <w:rsid w:val="00DC5D6B"/>
    <w:rsid w:val="00DD3062"/>
    <w:rsid w:val="00DE7E29"/>
    <w:rsid w:val="00DF483E"/>
    <w:rsid w:val="00E02F22"/>
    <w:rsid w:val="00E0347D"/>
    <w:rsid w:val="00E17188"/>
    <w:rsid w:val="00E65595"/>
    <w:rsid w:val="00E6595B"/>
    <w:rsid w:val="00E733DB"/>
    <w:rsid w:val="00E7690F"/>
    <w:rsid w:val="00E8192A"/>
    <w:rsid w:val="00E83693"/>
    <w:rsid w:val="00EA6D80"/>
    <w:rsid w:val="00EC760D"/>
    <w:rsid w:val="00ED22FF"/>
    <w:rsid w:val="00ED42CA"/>
    <w:rsid w:val="00ED6C87"/>
    <w:rsid w:val="00EE6FC4"/>
    <w:rsid w:val="00EE7352"/>
    <w:rsid w:val="00F0481E"/>
    <w:rsid w:val="00F07C74"/>
    <w:rsid w:val="00F14343"/>
    <w:rsid w:val="00F21E39"/>
    <w:rsid w:val="00F276A7"/>
    <w:rsid w:val="00F34AFB"/>
    <w:rsid w:val="00F456E1"/>
    <w:rsid w:val="00F45BC6"/>
    <w:rsid w:val="00F5171F"/>
    <w:rsid w:val="00F7097C"/>
    <w:rsid w:val="00F73096"/>
    <w:rsid w:val="00FA2FC1"/>
    <w:rsid w:val="00FA59EB"/>
    <w:rsid w:val="00FE3B25"/>
    <w:rsid w:val="00FE5845"/>
    <w:rsid w:val="00FE5BEA"/>
    <w:rsid w:val="00FF14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Arrow Connector 6"/>
        <o:r id="V:Rule2" type="connector" idref="#Straight Arrow Connector 4"/>
        <o:r id="V:Rule3" type="connector" idref="#Straight Arrow Connector 5"/>
        <o:r id="V:Rule4" type="connector" idref="#Straight Arrow Connector 2"/>
        <o:r id="V:Rule5"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7C"/>
  </w:style>
  <w:style w:type="paragraph" w:styleId="Heading1">
    <w:name w:val="heading 1"/>
    <w:basedOn w:val="Normal"/>
    <w:next w:val="Normal"/>
    <w:link w:val="Heading1Char"/>
    <w:uiPriority w:val="9"/>
    <w:qFormat/>
    <w:rsid w:val="00F709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09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0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9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09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097C"/>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F7097C"/>
    <w:pPr>
      <w:spacing w:line="240" w:lineRule="auto"/>
    </w:pPr>
    <w:rPr>
      <w:b/>
      <w:bCs/>
      <w:color w:val="4F81BD" w:themeColor="accent1"/>
      <w:sz w:val="18"/>
      <w:szCs w:val="18"/>
    </w:rPr>
  </w:style>
  <w:style w:type="paragraph" w:styleId="Title">
    <w:name w:val="Title"/>
    <w:basedOn w:val="Normal"/>
    <w:next w:val="Normal"/>
    <w:link w:val="TitleChar"/>
    <w:qFormat/>
    <w:rsid w:val="00F709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709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09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097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7097C"/>
    <w:pPr>
      <w:spacing w:after="0" w:line="240" w:lineRule="auto"/>
    </w:pPr>
  </w:style>
  <w:style w:type="paragraph" w:styleId="ListParagraph">
    <w:name w:val="List Paragraph"/>
    <w:basedOn w:val="Normal"/>
    <w:uiPriority w:val="34"/>
    <w:qFormat/>
    <w:rsid w:val="00F7097C"/>
    <w:pPr>
      <w:ind w:left="720"/>
      <w:contextualSpacing/>
    </w:pPr>
  </w:style>
  <w:style w:type="paragraph" w:styleId="TOCHeading">
    <w:name w:val="TOC Heading"/>
    <w:basedOn w:val="Heading1"/>
    <w:next w:val="Normal"/>
    <w:uiPriority w:val="39"/>
    <w:semiHidden/>
    <w:unhideWhenUsed/>
    <w:qFormat/>
    <w:rsid w:val="00F7097C"/>
    <w:pPr>
      <w:outlineLvl w:val="9"/>
    </w:pPr>
  </w:style>
  <w:style w:type="character" w:styleId="Hyperlink">
    <w:name w:val="Hyperlink"/>
    <w:basedOn w:val="DefaultParagraphFont"/>
    <w:uiPriority w:val="99"/>
    <w:unhideWhenUsed/>
    <w:rsid w:val="00440F0E"/>
    <w:rPr>
      <w:color w:val="0000FF" w:themeColor="hyperlink"/>
      <w:u w:val="single"/>
    </w:rPr>
  </w:style>
  <w:style w:type="paragraph" w:styleId="BalloonText">
    <w:name w:val="Balloon Text"/>
    <w:basedOn w:val="Normal"/>
    <w:link w:val="BalloonTextChar"/>
    <w:uiPriority w:val="99"/>
    <w:semiHidden/>
    <w:unhideWhenUsed/>
    <w:rsid w:val="0081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703"/>
    <w:rPr>
      <w:rFonts w:ascii="Tahoma" w:hAnsi="Tahoma" w:cs="Tahoma"/>
      <w:sz w:val="16"/>
      <w:szCs w:val="16"/>
    </w:rPr>
  </w:style>
  <w:style w:type="character" w:styleId="PlaceholderText">
    <w:name w:val="Placeholder Text"/>
    <w:basedOn w:val="DefaultParagraphFont"/>
    <w:uiPriority w:val="99"/>
    <w:semiHidden/>
    <w:rsid w:val="00816703"/>
    <w:rPr>
      <w:color w:val="808080"/>
    </w:rPr>
  </w:style>
  <w:style w:type="paragraph" w:styleId="TOC1">
    <w:name w:val="toc 1"/>
    <w:basedOn w:val="Normal"/>
    <w:next w:val="Normal"/>
    <w:autoRedefine/>
    <w:uiPriority w:val="39"/>
    <w:unhideWhenUsed/>
    <w:rsid w:val="00504760"/>
    <w:pPr>
      <w:spacing w:after="100"/>
    </w:pPr>
  </w:style>
  <w:style w:type="paragraph" w:styleId="TOC2">
    <w:name w:val="toc 2"/>
    <w:basedOn w:val="Normal"/>
    <w:next w:val="Normal"/>
    <w:autoRedefine/>
    <w:uiPriority w:val="39"/>
    <w:unhideWhenUsed/>
    <w:rsid w:val="00504760"/>
    <w:pPr>
      <w:spacing w:after="100"/>
      <w:ind w:left="220"/>
    </w:pPr>
  </w:style>
  <w:style w:type="paragraph" w:styleId="TOC3">
    <w:name w:val="toc 3"/>
    <w:basedOn w:val="Normal"/>
    <w:next w:val="Normal"/>
    <w:autoRedefine/>
    <w:uiPriority w:val="39"/>
    <w:unhideWhenUsed/>
    <w:rsid w:val="00504760"/>
    <w:pPr>
      <w:spacing w:after="100"/>
      <w:ind w:left="440"/>
    </w:pPr>
  </w:style>
  <w:style w:type="paragraph" w:styleId="Header">
    <w:name w:val="header"/>
    <w:basedOn w:val="Normal"/>
    <w:link w:val="HeaderChar"/>
    <w:uiPriority w:val="99"/>
    <w:unhideWhenUsed/>
    <w:rsid w:val="00A33C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C0A"/>
  </w:style>
  <w:style w:type="paragraph" w:styleId="Footer">
    <w:name w:val="footer"/>
    <w:basedOn w:val="Normal"/>
    <w:link w:val="FooterChar"/>
    <w:uiPriority w:val="99"/>
    <w:unhideWhenUsed/>
    <w:rsid w:val="00A33C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C0A"/>
  </w:style>
  <w:style w:type="paragraph" w:styleId="TableofFigures">
    <w:name w:val="table of figures"/>
    <w:basedOn w:val="Normal"/>
    <w:next w:val="Normal"/>
    <w:uiPriority w:val="99"/>
    <w:unhideWhenUsed/>
    <w:rsid w:val="00A43EAD"/>
    <w:pPr>
      <w:spacing w:after="0"/>
    </w:pPr>
  </w:style>
  <w:style w:type="table" w:styleId="MediumGrid3-Accent5">
    <w:name w:val="Medium Grid 3 Accent 5"/>
    <w:basedOn w:val="TableNormal"/>
    <w:uiPriority w:val="69"/>
    <w:rsid w:val="00FA59EB"/>
    <w:pPr>
      <w:spacing w:after="0" w:line="240" w:lineRule="auto"/>
    </w:pPr>
    <w:rPr>
      <w:rFonts w:eastAsiaTheme="minorEastAsia"/>
      <w:lang w:eastAsia="sl-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7C"/>
  </w:style>
  <w:style w:type="paragraph" w:styleId="Heading1">
    <w:name w:val="heading 1"/>
    <w:basedOn w:val="Normal"/>
    <w:next w:val="Normal"/>
    <w:link w:val="Heading1Char"/>
    <w:uiPriority w:val="9"/>
    <w:qFormat/>
    <w:rsid w:val="00F709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09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0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9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09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097C"/>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F7097C"/>
    <w:pPr>
      <w:spacing w:line="240" w:lineRule="auto"/>
    </w:pPr>
    <w:rPr>
      <w:b/>
      <w:bCs/>
      <w:color w:val="4F81BD" w:themeColor="accent1"/>
      <w:sz w:val="18"/>
      <w:szCs w:val="18"/>
    </w:rPr>
  </w:style>
  <w:style w:type="paragraph" w:styleId="Title">
    <w:name w:val="Title"/>
    <w:basedOn w:val="Normal"/>
    <w:next w:val="Normal"/>
    <w:link w:val="TitleChar"/>
    <w:qFormat/>
    <w:rsid w:val="00F709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709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09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097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7097C"/>
    <w:pPr>
      <w:spacing w:after="0" w:line="240" w:lineRule="auto"/>
    </w:pPr>
  </w:style>
  <w:style w:type="paragraph" w:styleId="ListParagraph">
    <w:name w:val="List Paragraph"/>
    <w:basedOn w:val="Normal"/>
    <w:uiPriority w:val="34"/>
    <w:qFormat/>
    <w:rsid w:val="00F7097C"/>
    <w:pPr>
      <w:ind w:left="720"/>
      <w:contextualSpacing/>
    </w:pPr>
  </w:style>
  <w:style w:type="paragraph" w:styleId="TOCHeading">
    <w:name w:val="TOC Heading"/>
    <w:basedOn w:val="Heading1"/>
    <w:next w:val="Normal"/>
    <w:uiPriority w:val="39"/>
    <w:semiHidden/>
    <w:unhideWhenUsed/>
    <w:qFormat/>
    <w:rsid w:val="00F7097C"/>
    <w:pPr>
      <w:outlineLvl w:val="9"/>
    </w:pPr>
  </w:style>
  <w:style w:type="character" w:styleId="Hyperlink">
    <w:name w:val="Hyperlink"/>
    <w:basedOn w:val="DefaultParagraphFont"/>
    <w:uiPriority w:val="99"/>
    <w:unhideWhenUsed/>
    <w:rsid w:val="00440F0E"/>
    <w:rPr>
      <w:color w:val="0000FF" w:themeColor="hyperlink"/>
      <w:u w:val="single"/>
    </w:rPr>
  </w:style>
  <w:style w:type="paragraph" w:styleId="BalloonText">
    <w:name w:val="Balloon Text"/>
    <w:basedOn w:val="Normal"/>
    <w:link w:val="BalloonTextChar"/>
    <w:uiPriority w:val="99"/>
    <w:semiHidden/>
    <w:unhideWhenUsed/>
    <w:rsid w:val="0081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703"/>
    <w:rPr>
      <w:rFonts w:ascii="Tahoma" w:hAnsi="Tahoma" w:cs="Tahoma"/>
      <w:sz w:val="16"/>
      <w:szCs w:val="16"/>
    </w:rPr>
  </w:style>
  <w:style w:type="character" w:styleId="PlaceholderText">
    <w:name w:val="Placeholder Text"/>
    <w:basedOn w:val="DefaultParagraphFont"/>
    <w:uiPriority w:val="99"/>
    <w:semiHidden/>
    <w:rsid w:val="00816703"/>
    <w:rPr>
      <w:color w:val="808080"/>
    </w:rPr>
  </w:style>
  <w:style w:type="paragraph" w:styleId="TOC1">
    <w:name w:val="toc 1"/>
    <w:basedOn w:val="Normal"/>
    <w:next w:val="Normal"/>
    <w:autoRedefine/>
    <w:uiPriority w:val="39"/>
    <w:unhideWhenUsed/>
    <w:rsid w:val="00504760"/>
    <w:pPr>
      <w:spacing w:after="100"/>
    </w:pPr>
  </w:style>
  <w:style w:type="paragraph" w:styleId="TOC2">
    <w:name w:val="toc 2"/>
    <w:basedOn w:val="Normal"/>
    <w:next w:val="Normal"/>
    <w:autoRedefine/>
    <w:uiPriority w:val="39"/>
    <w:unhideWhenUsed/>
    <w:rsid w:val="00504760"/>
    <w:pPr>
      <w:spacing w:after="100"/>
      <w:ind w:left="220"/>
    </w:pPr>
  </w:style>
  <w:style w:type="paragraph" w:styleId="TOC3">
    <w:name w:val="toc 3"/>
    <w:basedOn w:val="Normal"/>
    <w:next w:val="Normal"/>
    <w:autoRedefine/>
    <w:uiPriority w:val="39"/>
    <w:unhideWhenUsed/>
    <w:rsid w:val="00504760"/>
    <w:pPr>
      <w:spacing w:after="100"/>
      <w:ind w:left="440"/>
    </w:pPr>
  </w:style>
  <w:style w:type="paragraph" w:styleId="Header">
    <w:name w:val="header"/>
    <w:basedOn w:val="Normal"/>
    <w:link w:val="HeaderChar"/>
    <w:uiPriority w:val="99"/>
    <w:unhideWhenUsed/>
    <w:rsid w:val="00A33C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C0A"/>
  </w:style>
  <w:style w:type="paragraph" w:styleId="Footer">
    <w:name w:val="footer"/>
    <w:basedOn w:val="Normal"/>
    <w:link w:val="FooterChar"/>
    <w:uiPriority w:val="99"/>
    <w:unhideWhenUsed/>
    <w:rsid w:val="00A33C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C0A"/>
  </w:style>
  <w:style w:type="paragraph" w:styleId="TableofFigures">
    <w:name w:val="table of figures"/>
    <w:basedOn w:val="Normal"/>
    <w:next w:val="Normal"/>
    <w:uiPriority w:val="99"/>
    <w:unhideWhenUsed/>
    <w:rsid w:val="00A43EAD"/>
    <w:pPr>
      <w:spacing w:after="0"/>
    </w:pPr>
  </w:style>
  <w:style w:type="table" w:styleId="MediumGrid3-Accent5">
    <w:name w:val="Medium Grid 3 Accent 5"/>
    <w:basedOn w:val="TableNormal"/>
    <w:uiPriority w:val="69"/>
    <w:rsid w:val="00FA59EB"/>
    <w:pPr>
      <w:spacing w:after="0" w:line="240" w:lineRule="auto"/>
    </w:pPr>
    <w:rPr>
      <w:rFonts w:eastAsiaTheme="minorEastAsia"/>
      <w:lang w:eastAsia="sl-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1392">
      <w:bodyDiv w:val="1"/>
      <w:marLeft w:val="0"/>
      <w:marRight w:val="0"/>
      <w:marTop w:val="0"/>
      <w:marBottom w:val="0"/>
      <w:divBdr>
        <w:top w:val="none" w:sz="0" w:space="0" w:color="auto"/>
        <w:left w:val="none" w:sz="0" w:space="0" w:color="auto"/>
        <w:bottom w:val="none" w:sz="0" w:space="0" w:color="auto"/>
        <w:right w:val="none" w:sz="0" w:space="0" w:color="auto"/>
      </w:divBdr>
    </w:div>
    <w:div w:id="447552407">
      <w:bodyDiv w:val="1"/>
      <w:marLeft w:val="0"/>
      <w:marRight w:val="0"/>
      <w:marTop w:val="0"/>
      <w:marBottom w:val="0"/>
      <w:divBdr>
        <w:top w:val="none" w:sz="0" w:space="0" w:color="auto"/>
        <w:left w:val="none" w:sz="0" w:space="0" w:color="auto"/>
        <w:bottom w:val="none" w:sz="0" w:space="0" w:color="auto"/>
        <w:right w:val="none" w:sz="0" w:space="0" w:color="auto"/>
      </w:divBdr>
    </w:div>
    <w:div w:id="1076591958">
      <w:bodyDiv w:val="1"/>
      <w:marLeft w:val="0"/>
      <w:marRight w:val="0"/>
      <w:marTop w:val="0"/>
      <w:marBottom w:val="0"/>
      <w:divBdr>
        <w:top w:val="none" w:sz="0" w:space="0" w:color="auto"/>
        <w:left w:val="none" w:sz="0" w:space="0" w:color="auto"/>
        <w:bottom w:val="none" w:sz="0" w:space="0" w:color="auto"/>
        <w:right w:val="none" w:sz="0" w:space="0" w:color="auto"/>
      </w:divBdr>
    </w:div>
    <w:div w:id="1289816908">
      <w:bodyDiv w:val="1"/>
      <w:marLeft w:val="0"/>
      <w:marRight w:val="0"/>
      <w:marTop w:val="0"/>
      <w:marBottom w:val="0"/>
      <w:divBdr>
        <w:top w:val="none" w:sz="0" w:space="0" w:color="auto"/>
        <w:left w:val="none" w:sz="0" w:space="0" w:color="auto"/>
        <w:bottom w:val="none" w:sz="0" w:space="0" w:color="auto"/>
        <w:right w:val="none" w:sz="0" w:space="0" w:color="auto"/>
      </w:divBdr>
    </w:div>
    <w:div w:id="1411082676">
      <w:bodyDiv w:val="1"/>
      <w:marLeft w:val="0"/>
      <w:marRight w:val="0"/>
      <w:marTop w:val="0"/>
      <w:marBottom w:val="0"/>
      <w:divBdr>
        <w:top w:val="none" w:sz="0" w:space="0" w:color="auto"/>
        <w:left w:val="none" w:sz="0" w:space="0" w:color="auto"/>
        <w:bottom w:val="none" w:sz="0" w:space="0" w:color="auto"/>
        <w:right w:val="none" w:sz="0" w:space="0" w:color="auto"/>
      </w:divBdr>
    </w:div>
    <w:div w:id="1465733889">
      <w:bodyDiv w:val="1"/>
      <w:marLeft w:val="0"/>
      <w:marRight w:val="0"/>
      <w:marTop w:val="0"/>
      <w:marBottom w:val="0"/>
      <w:divBdr>
        <w:top w:val="none" w:sz="0" w:space="0" w:color="auto"/>
        <w:left w:val="none" w:sz="0" w:space="0" w:color="auto"/>
        <w:bottom w:val="none" w:sz="0" w:space="0" w:color="auto"/>
        <w:right w:val="none" w:sz="0" w:space="0" w:color="auto"/>
      </w:divBdr>
    </w:div>
    <w:div w:id="1586068836">
      <w:bodyDiv w:val="1"/>
      <w:marLeft w:val="0"/>
      <w:marRight w:val="0"/>
      <w:marTop w:val="0"/>
      <w:marBottom w:val="0"/>
      <w:divBdr>
        <w:top w:val="none" w:sz="0" w:space="0" w:color="auto"/>
        <w:left w:val="none" w:sz="0" w:space="0" w:color="auto"/>
        <w:bottom w:val="none" w:sz="0" w:space="0" w:color="auto"/>
        <w:right w:val="none" w:sz="0" w:space="0" w:color="auto"/>
      </w:divBdr>
    </w:div>
    <w:div w:id="1641349541">
      <w:bodyDiv w:val="1"/>
      <w:marLeft w:val="0"/>
      <w:marRight w:val="0"/>
      <w:marTop w:val="0"/>
      <w:marBottom w:val="0"/>
      <w:divBdr>
        <w:top w:val="none" w:sz="0" w:space="0" w:color="auto"/>
        <w:left w:val="none" w:sz="0" w:space="0" w:color="auto"/>
        <w:bottom w:val="none" w:sz="0" w:space="0" w:color="auto"/>
        <w:right w:val="none" w:sz="0" w:space="0" w:color="auto"/>
      </w:divBdr>
    </w:div>
    <w:div w:id="16995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lo.si/gospodarstvo/podjetja/adria-mobil-je-prodala-vec.html" TargetMode="External"/><Relationship Id="rId18" Type="http://schemas.openxmlformats.org/officeDocument/2006/relationships/hyperlink" Target="http://www.delo.si/gospodarstvo/podjetja/adria-mobil-je-prodala-vec.html" TargetMode="External"/><Relationship Id="rId26" Type="http://schemas.openxmlformats.org/officeDocument/2006/relationships/hyperlink" Target="http://www.civd.de/en/caravaning/touristik/the-european-tourism-marktet/" TargetMode="External"/><Relationship Id="rId3" Type="http://schemas.openxmlformats.org/officeDocument/2006/relationships/styles" Target="styles.xml"/><Relationship Id="rId21" Type="http://schemas.openxmlformats.org/officeDocument/2006/relationships/hyperlink" Target="http://www.najdi.si/novica/Finance.si/Slovenija/Kako-je-novome%C5%A1ka-Adria-Mobil-v-Nem%C4%8Diji-postala-kralj-kupcev/cb2e9ab92b755bad24e2e3c2f026021d" TargetMode="External"/><Relationship Id="rId34" Type="http://schemas.openxmlformats.org/officeDocument/2006/relationships/hyperlink" Target="http://pages.stern.nyu.edu/~adamodar/" TargetMode="External"/><Relationship Id="rId7" Type="http://schemas.openxmlformats.org/officeDocument/2006/relationships/footnotes" Target="footnotes.xml"/><Relationship Id="rId12" Type="http://schemas.openxmlformats.org/officeDocument/2006/relationships/hyperlink" Target="http://www.finance.si/287178" TargetMode="External"/><Relationship Id="rId17" Type="http://schemas.openxmlformats.org/officeDocument/2006/relationships/hyperlink" Target="http://www.siol.net/avtomoto/novice/kratke/2012/06/adria_mobil_certifikat_uso_s11.aspx" TargetMode="External"/><Relationship Id="rId25" Type="http://schemas.openxmlformats.org/officeDocument/2006/relationships/hyperlink" Target="http://www.civd.de/en/caravaning/market-figures/worldwide-leisure-vehicle-market/" TargetMode="External"/><Relationship Id="rId33" Type="http://schemas.openxmlformats.org/officeDocument/2006/relationships/hyperlink" Target="http://www.cek.ef.uni-lj.si/u_diplome/podrzaj4520.pdf" TargetMode="External"/><Relationship Id="rId2" Type="http://schemas.openxmlformats.org/officeDocument/2006/relationships/numbering" Target="numbering.xml"/><Relationship Id="rId16" Type="http://schemas.openxmlformats.org/officeDocument/2006/relationships/hyperlink" Target="http://zlatanit.dnevnik.si/sl/Novice/387/Adria+Mobil%3A+Adria%C5%A1+je+odgovoren+spo%C5%A1tljiv+pripaden+in+samokriti%C4%8Den" TargetMode="External"/><Relationship Id="rId20" Type="http://schemas.openxmlformats.org/officeDocument/2006/relationships/hyperlink" Target="http://zlatanit.dnevnik.si/sl/Novice/373/Znani+so+finalisti+Zlate+niti+2011" TargetMode="External"/><Relationship Id="rId29" Type="http://schemas.openxmlformats.org/officeDocument/2006/relationships/hyperlink" Target="http://epp.eurostat.ec.europa.eu/tgm/table.do?tab=table&amp;plugin=1&amp;language=en&amp;pcode=tsieb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ivd.de/en/caravaning/market-figures/europe-caravans/" TargetMode="External"/><Relationship Id="rId32" Type="http://schemas.openxmlformats.org/officeDocument/2006/relationships/hyperlink" Target="http://www.google.com/finance?q=NYSE%3AWG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siol.net/avtomoto/novice/kratke/2012/05/adria_mobil_poslovanje_2011.aspx" TargetMode="External"/><Relationship Id="rId28" Type="http://schemas.openxmlformats.org/officeDocument/2006/relationships/hyperlink" Target="http://www.e-c-f.com/fileadmin/templates/4825/images/statistics/europazul-1.pdf"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finance.si/287178" TargetMode="External"/><Relationship Id="rId31" Type="http://schemas.openxmlformats.org/officeDocument/2006/relationships/hyperlink" Target="http://www.google.com/finance?q=NYSE:TH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latanit.dnevnik.si" TargetMode="External"/><Relationship Id="rId22" Type="http://schemas.openxmlformats.org/officeDocument/2006/relationships/hyperlink" Target="http://www.najdi.si/novica/Radio-Krka/Slovenija/Adria-Mobil%2C-Simobil-in-Delo-z-najbolj%C5%A1imi-tr%C5%BEniki---Novo-mesto%2C-Ljubljana/7be7be8b38d0870e2aba032c40689b44" TargetMode="External"/><Relationship Id="rId27" Type="http://schemas.openxmlformats.org/officeDocument/2006/relationships/hyperlink" Target="http://www.civd.de/fileadmin/civd/pdf/Jahresbericht_11_12.pdf" TargetMode="External"/><Relationship Id="rId30" Type="http://schemas.openxmlformats.org/officeDocument/2006/relationships/hyperlink" Target="http://www.marketwatch.com/investing/stock/THO/analystestimates?subview=snapshot&amp;pg=analyst" TargetMode="External"/><Relationship Id="rId35"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DA32-583E-42B3-BB13-2E8A750A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8179</Words>
  <Characters>46621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dc:creator>
  <cp:lastModifiedBy>Jaka</cp:lastModifiedBy>
  <cp:revision>3</cp:revision>
  <dcterms:created xsi:type="dcterms:W3CDTF">2012-06-17T20:32:00Z</dcterms:created>
  <dcterms:modified xsi:type="dcterms:W3CDTF">2014-06-26T06:04:00Z</dcterms:modified>
</cp:coreProperties>
</file>