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A" w:rsidRPr="0016189A" w:rsidRDefault="0016189A" w:rsidP="00161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Relacije in funkcije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4.1. Definicija in lastnosti relacij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dvomestna relacija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množici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Dvomestna relacija v množici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torej neka množica urejenih parov elementov 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Zgledi.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poljubna množica.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∅⊆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prazna relacija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univerzalna relacija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proofErr w:type="spellStart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enakost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identiteta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Relacijska pisava.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Namesto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pišemo 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beremo: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v relaciji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Namesto 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pišemo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= 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domena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definicijsko območje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Z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= 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zaloga vrednosti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Dvomestna relacija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1.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refleksivna,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2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irefleksivna</w:t>
      </w:r>
      <w:proofErr w:type="spellEnd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:¬(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3.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simetrična,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4.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asimetrična,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¬(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5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antisimetrična</w:t>
      </w:r>
      <w:proofErr w:type="spellEnd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6.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tranzitivna,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yRz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xRz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7.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intranzitivna</w:t>
      </w:r>
      <w:proofErr w:type="spellEnd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yRz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¬(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xRz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8.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sovisna,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9.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strogo sovisna, 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10.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enolična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xRz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13. 12. 2013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asimetrična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antisimetrična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irefleksivna</w:t>
      </w:r>
      <w:proofErr w:type="spellEnd"/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strogo sovisna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sovisna in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irefleksivna</w:t>
      </w:r>
      <w:proofErr w:type="spellEnd"/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4.2. Ekvivalenčne relacije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Relacija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množici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ekvivalenčna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je refleksivna, simetrična in tranzitivna.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ekvivalenčna. Vsakemu elementu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priredimo njegov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ekvivalenčni razred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]={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yRx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Množico vseh ekvivalenčnih razredov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/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];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faktorska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kvocientna</w:t>
      </w:r>
      <w:proofErr w:type="spellEnd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množica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relaciji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Množica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razdelitev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particija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velja: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 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∩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⋃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Elemente razdelitve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bloki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ekvivalenčna relacija v množici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Potem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/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razdelitev 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4.3. Operacije z relacijami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dvomestni relaciji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so tudi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∩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⊕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dvomestne relacije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bosta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dvomestni relaciji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); 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inverzna relacija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xSu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uRy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kompozitum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relacij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Ogledali smo si nekaj lastnosti operacij z relacijami. Med njimi je posebej pomembna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asociativnost komponiranja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Pokazali smo tudi, kako je mogoče algebraično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karakterizirati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lastnosti relacij.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20. 12. 2013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potence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naravnimi eksponenti (glede na komponiranje) ter relaciji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+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Prva je unija vseh pozitivnih potenc 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druga pa unija vseh nenegativnih potenc 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dvomestna relacija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neka lastnost relacij. Relacija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L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-ovojnica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velja: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L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L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 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L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besedami: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-ovojnica 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najmanjša relacija, ki vsebuje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ima lastnost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L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+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tranzitivna ovojnica relacije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Podobno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refleksivna in tranzitivna ovojnica relacija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4.4. Funkcije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Neformalna definicija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Funkcija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predpis, ki vsakemu elementu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priredi točno določen element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V teoriji množic funkcijo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kot množico urejenih parov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tisti element, ki ga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priredi elementu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Formalna definicija.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Funkcija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enolična dvomestna relacija.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Funkcija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preslikava 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 množico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proofErr w:type="spellStart"/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Z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proofErr w:type="spellEnd"/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Pišemo: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Množico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kodomena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preslikave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funkcija, namesto relacijske pisave 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xfy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uporabljamo funkcijsko pisavo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⟼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Rečemo, da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slika originala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vrednost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argumentu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Zgledi.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1. Prazna množica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funkcija, ki jo imenujemo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prazna funkcija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poljubna množica. Preslikavo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imenujemo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identična preslikava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 Preslikavo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imenujemo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vložitev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Za vse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{1,2,…,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preslikavo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⋯</w:t>
      </w:r>
      <w:r w:rsidRPr="0016189A">
        <w:rPr>
          <w:rFonts w:ascii="Times New Roman" w:eastAsia="Times New Roman" w:hAnsi="Times New Roma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za vse 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{1,2,…,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⋯</w:t>
      </w:r>
      <w:r w:rsidRPr="0016189A">
        <w:rPr>
          <w:rFonts w:ascii="Times New Roman" w:eastAsia="Times New Roman" w:hAnsi="Times New Roma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))=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imenujemo 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projekcija na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-to komponento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ekvivalenčna relacija v množici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 Preslikavo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/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imenujemo 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naravna projekcija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 Preslikavo</w:t>
      </w:r>
    </w:p>
    <w:p w:rsidR="0016189A" w:rsidRPr="0016189A" w:rsidRDefault="0016189A" w:rsidP="0016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χ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{0,1},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χ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S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6189A">
        <w:rPr>
          <w:rFonts w:ascii="MathJax_Size3" w:eastAsia="Times New Roman" w:hAnsi="MathJax_Size3" w:cs="Times New Roman"/>
          <w:sz w:val="29"/>
          <w:szCs w:val="29"/>
          <w:lang w:eastAsia="sl-SI"/>
        </w:rPr>
        <w:t>{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1,0,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imenujemo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karakteristična funkcija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glede na univerzalno množico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injektivna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proofErr w:type="spellStart"/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surjektivna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proofErr w:type="spellStart"/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Z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bijektivna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injektivna in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surjektivna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>Definicija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Preslikavo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⋯</w:t>
      </w:r>
      <w:r w:rsidRPr="0016189A">
        <w:rPr>
          <w:rFonts w:ascii="Times New Roman" w:eastAsia="Times New Roman" w:hAnsi="Times New Roman" w:cs="Times New Roman"/>
          <w:sz w:val="29"/>
          <w:szCs w:val="29"/>
          <w:lang w:eastAsia="sl-SI"/>
        </w:rPr>
        <w:t>×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tudi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funkcija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spremenljivk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Tedaj namesto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pišemo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za vsako relacijo tudi za funkcijo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inverzna relacija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funkcija. Potem velja: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funkcija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injektivna.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Potem velja: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bijektivna.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Če sta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funkciji, je tudi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funkcija in za vse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Potem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Potem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B</w:t>
      </w:r>
      <w:proofErr w:type="spellEnd"/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 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 Potem velja: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injektivni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injektivna.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surjektivni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surjektivna.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injektivna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injektivna.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surjektivna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surjektivna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4. 1. 2014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njena inverzna relacija. Potem velja: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=id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Z</w:t>
      </w:r>
      <w:r w:rsidRPr="0016189A">
        <w:rPr>
          <w:rFonts w:ascii="MathJax_Math" w:eastAsia="Times New Roman" w:hAnsi="MathJax_Math" w:cs="Times New Roman"/>
          <w:i/>
          <w:iCs/>
          <w:sz w:val="15"/>
          <w:szCs w:val="15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injektivna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surjektivna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⟶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∘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=id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potem sta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bijekciji in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Za preslikavo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</w:t>
      </w: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sliko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prasliko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[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]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podmnožice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Ogledali smo si nekaj lastnosti slik in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praslik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Družino množic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indeksno množico 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kot </w:t>
      </w:r>
      <w:proofErr w:type="spellStart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surjektivno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preslikavo 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je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neka množica množic. Za 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namesto 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A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pišemo 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proofErr w:type="spellEnd"/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družino pa označujemo z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Družina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proofErr w:type="spellStart"/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proofErr w:type="spellEnd"/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I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prazna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⋃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I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(unija družine)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Če 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⋂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I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(presek neprazne družine)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16189A">
        <w:rPr>
          <w:rFonts w:ascii="MathJax_Size1" w:eastAsia="Times New Roman" w:hAnsi="MathJax_Size1" w:cs="Times New Roman"/>
          <w:sz w:val="29"/>
          <w:szCs w:val="29"/>
          <w:lang w:eastAsia="sl-SI"/>
        </w:rPr>
        <w:t>∏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I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→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0"/>
          <w:szCs w:val="20"/>
          <w:lang w:eastAsia="sl-SI"/>
        </w:rPr>
        <w:t>I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I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16189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16189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16189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λ</w:t>
      </w:r>
      <w:r w:rsidRPr="0016189A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(kartezični produkt družine)</w:t>
      </w:r>
    </w:p>
    <w:p w:rsidR="0016189A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Elemente kartezičnega produkta družine imenujemo </w:t>
      </w:r>
      <w:r w:rsidRPr="0016189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funkcije izbire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za družino.</w:t>
      </w:r>
    </w:p>
    <w:p w:rsidR="00CB5B30" w:rsidRPr="0016189A" w:rsidRDefault="0016189A" w:rsidP="00161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18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Aksiom izbire (AC):</w:t>
      </w:r>
      <w:r w:rsidRPr="001618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6189A">
        <w:rPr>
          <w:rFonts w:ascii="Times New Roman" w:eastAsia="Times New Roman" w:hAnsi="Times New Roman" w:cs="Times New Roman"/>
          <w:sz w:val="24"/>
          <w:szCs w:val="24"/>
          <w:lang w:eastAsia="sl-SI"/>
        </w:rPr>
        <w:t>Kartezični produkt poljubne družine nepraznih množic je neprazen.</w:t>
      </w:r>
      <w:bookmarkStart w:id="0" w:name="_GoBack"/>
      <w:bookmarkEnd w:id="0"/>
    </w:p>
    <w:sectPr w:rsidR="00CB5B30" w:rsidRPr="0016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MathJax_Size3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8"/>
    <w:rsid w:val="0016189A"/>
    <w:rsid w:val="00270737"/>
    <w:rsid w:val="005E07E7"/>
    <w:rsid w:val="00766AD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89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6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16189A"/>
    <w:rPr>
      <w:b/>
      <w:bCs/>
    </w:rPr>
  </w:style>
  <w:style w:type="character" w:styleId="Emphasis">
    <w:name w:val="Emphasis"/>
    <w:basedOn w:val="DefaultParagraphFont"/>
    <w:uiPriority w:val="20"/>
    <w:qFormat/>
    <w:rsid w:val="0016189A"/>
    <w:rPr>
      <w:i/>
      <w:iCs/>
    </w:rPr>
  </w:style>
  <w:style w:type="character" w:customStyle="1" w:styleId="mathjaxpreview">
    <w:name w:val="mathjax_preview"/>
    <w:basedOn w:val="DefaultParagraphFont"/>
    <w:rsid w:val="0016189A"/>
  </w:style>
  <w:style w:type="character" w:customStyle="1" w:styleId="mathjax">
    <w:name w:val="mathjax"/>
    <w:basedOn w:val="DefaultParagraphFont"/>
    <w:rsid w:val="0016189A"/>
  </w:style>
  <w:style w:type="character" w:customStyle="1" w:styleId="math">
    <w:name w:val="math"/>
    <w:basedOn w:val="DefaultParagraphFont"/>
    <w:rsid w:val="0016189A"/>
  </w:style>
  <w:style w:type="character" w:customStyle="1" w:styleId="mrow">
    <w:name w:val="mrow"/>
    <w:basedOn w:val="DefaultParagraphFont"/>
    <w:rsid w:val="0016189A"/>
  </w:style>
  <w:style w:type="character" w:customStyle="1" w:styleId="mi">
    <w:name w:val="mi"/>
    <w:basedOn w:val="DefaultParagraphFont"/>
    <w:rsid w:val="0016189A"/>
  </w:style>
  <w:style w:type="character" w:customStyle="1" w:styleId="mo">
    <w:name w:val="mo"/>
    <w:basedOn w:val="DefaultParagraphFont"/>
    <w:rsid w:val="0016189A"/>
  </w:style>
  <w:style w:type="character" w:customStyle="1" w:styleId="mtext">
    <w:name w:val="mtext"/>
    <w:basedOn w:val="DefaultParagraphFont"/>
    <w:rsid w:val="0016189A"/>
  </w:style>
  <w:style w:type="character" w:customStyle="1" w:styleId="msubsup">
    <w:name w:val="msubsup"/>
    <w:basedOn w:val="DefaultParagraphFont"/>
    <w:rsid w:val="0016189A"/>
  </w:style>
  <w:style w:type="character" w:customStyle="1" w:styleId="mspace">
    <w:name w:val="mspace"/>
    <w:basedOn w:val="DefaultParagraphFont"/>
    <w:rsid w:val="0016189A"/>
  </w:style>
  <w:style w:type="character" w:customStyle="1" w:styleId="texatom">
    <w:name w:val="texatom"/>
    <w:basedOn w:val="DefaultParagraphFont"/>
    <w:rsid w:val="0016189A"/>
  </w:style>
  <w:style w:type="character" w:customStyle="1" w:styleId="mn">
    <w:name w:val="mn"/>
    <w:basedOn w:val="DefaultParagraphFont"/>
    <w:rsid w:val="0016189A"/>
  </w:style>
  <w:style w:type="character" w:customStyle="1" w:styleId="munderover">
    <w:name w:val="munderover"/>
    <w:basedOn w:val="DefaultParagraphFont"/>
    <w:rsid w:val="0016189A"/>
  </w:style>
  <w:style w:type="character" w:customStyle="1" w:styleId="mfenced">
    <w:name w:val="mfenced"/>
    <w:basedOn w:val="DefaultParagraphFont"/>
    <w:rsid w:val="0016189A"/>
  </w:style>
  <w:style w:type="character" w:customStyle="1" w:styleId="mtable">
    <w:name w:val="mtable"/>
    <w:basedOn w:val="DefaultParagraphFont"/>
    <w:rsid w:val="0016189A"/>
  </w:style>
  <w:style w:type="character" w:customStyle="1" w:styleId="mtd">
    <w:name w:val="mtd"/>
    <w:basedOn w:val="DefaultParagraphFont"/>
    <w:rsid w:val="0016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89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6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16189A"/>
    <w:rPr>
      <w:b/>
      <w:bCs/>
    </w:rPr>
  </w:style>
  <w:style w:type="character" w:styleId="Emphasis">
    <w:name w:val="Emphasis"/>
    <w:basedOn w:val="DefaultParagraphFont"/>
    <w:uiPriority w:val="20"/>
    <w:qFormat/>
    <w:rsid w:val="0016189A"/>
    <w:rPr>
      <w:i/>
      <w:iCs/>
    </w:rPr>
  </w:style>
  <w:style w:type="character" w:customStyle="1" w:styleId="mathjaxpreview">
    <w:name w:val="mathjax_preview"/>
    <w:basedOn w:val="DefaultParagraphFont"/>
    <w:rsid w:val="0016189A"/>
  </w:style>
  <w:style w:type="character" w:customStyle="1" w:styleId="mathjax">
    <w:name w:val="mathjax"/>
    <w:basedOn w:val="DefaultParagraphFont"/>
    <w:rsid w:val="0016189A"/>
  </w:style>
  <w:style w:type="character" w:customStyle="1" w:styleId="math">
    <w:name w:val="math"/>
    <w:basedOn w:val="DefaultParagraphFont"/>
    <w:rsid w:val="0016189A"/>
  </w:style>
  <w:style w:type="character" w:customStyle="1" w:styleId="mrow">
    <w:name w:val="mrow"/>
    <w:basedOn w:val="DefaultParagraphFont"/>
    <w:rsid w:val="0016189A"/>
  </w:style>
  <w:style w:type="character" w:customStyle="1" w:styleId="mi">
    <w:name w:val="mi"/>
    <w:basedOn w:val="DefaultParagraphFont"/>
    <w:rsid w:val="0016189A"/>
  </w:style>
  <w:style w:type="character" w:customStyle="1" w:styleId="mo">
    <w:name w:val="mo"/>
    <w:basedOn w:val="DefaultParagraphFont"/>
    <w:rsid w:val="0016189A"/>
  </w:style>
  <w:style w:type="character" w:customStyle="1" w:styleId="mtext">
    <w:name w:val="mtext"/>
    <w:basedOn w:val="DefaultParagraphFont"/>
    <w:rsid w:val="0016189A"/>
  </w:style>
  <w:style w:type="character" w:customStyle="1" w:styleId="msubsup">
    <w:name w:val="msubsup"/>
    <w:basedOn w:val="DefaultParagraphFont"/>
    <w:rsid w:val="0016189A"/>
  </w:style>
  <w:style w:type="character" w:customStyle="1" w:styleId="mspace">
    <w:name w:val="mspace"/>
    <w:basedOn w:val="DefaultParagraphFont"/>
    <w:rsid w:val="0016189A"/>
  </w:style>
  <w:style w:type="character" w:customStyle="1" w:styleId="texatom">
    <w:name w:val="texatom"/>
    <w:basedOn w:val="DefaultParagraphFont"/>
    <w:rsid w:val="0016189A"/>
  </w:style>
  <w:style w:type="character" w:customStyle="1" w:styleId="mn">
    <w:name w:val="mn"/>
    <w:basedOn w:val="DefaultParagraphFont"/>
    <w:rsid w:val="0016189A"/>
  </w:style>
  <w:style w:type="character" w:customStyle="1" w:styleId="munderover">
    <w:name w:val="munderover"/>
    <w:basedOn w:val="DefaultParagraphFont"/>
    <w:rsid w:val="0016189A"/>
  </w:style>
  <w:style w:type="character" w:customStyle="1" w:styleId="mfenced">
    <w:name w:val="mfenced"/>
    <w:basedOn w:val="DefaultParagraphFont"/>
    <w:rsid w:val="0016189A"/>
  </w:style>
  <w:style w:type="character" w:customStyle="1" w:styleId="mtable">
    <w:name w:val="mtable"/>
    <w:basedOn w:val="DefaultParagraphFont"/>
    <w:rsid w:val="0016189A"/>
  </w:style>
  <w:style w:type="character" w:customStyle="1" w:styleId="mtd">
    <w:name w:val="mtd"/>
    <w:basedOn w:val="DefaultParagraphFont"/>
    <w:rsid w:val="0016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2014-06-21T13:22:00Z</dcterms:created>
  <dcterms:modified xsi:type="dcterms:W3CDTF">2014-06-21T13:22:00Z</dcterms:modified>
</cp:coreProperties>
</file>