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60" w:rsidRPr="008F606E" w:rsidRDefault="00B43260" w:rsidP="00B43260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DOLŽNOST PREŽIVLJANJA</w:t>
      </w:r>
    </w:p>
    <w:p w:rsidR="00B43260" w:rsidRPr="008F606E" w:rsidRDefault="00B43260" w:rsidP="00B43260">
      <w:pPr>
        <w:rPr>
          <w:rFonts w:ascii="Calibri" w:hAnsi="Calibri"/>
        </w:rPr>
      </w:pPr>
    </w:p>
    <w:p w:rsidR="00B43260" w:rsidRPr="008F606E" w:rsidRDefault="00B43260" w:rsidP="00B43260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 xml:space="preserve">I. VZAJEMNA DOLŽNOST PREŽIVLJANJA 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 xml:space="preserve">vzajemna dolžnost preživljanja </w:t>
      </w:r>
      <w:r w:rsidRPr="008F606E">
        <w:rPr>
          <w:rFonts w:ascii="Calibri" w:hAnsi="Calibri"/>
        </w:rPr>
        <w:t>velja le med člani družine: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med starši in otroki </w:t>
      </w:r>
      <w:r w:rsidRPr="008F606E">
        <w:rPr>
          <w:rFonts w:ascii="Calibri" w:hAnsi="Calibri"/>
          <w:i/>
        </w:rPr>
        <w:t>(tudi med posvojencem in posvojiteljem)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med otrokom in zakoncem njegovega roditelja </w:t>
      </w:r>
      <w:r w:rsidRPr="008F606E">
        <w:rPr>
          <w:rFonts w:ascii="Calibri" w:hAnsi="Calibri"/>
          <w:i/>
          <w:iCs/>
        </w:rPr>
        <w:t xml:space="preserve">(očim/mačeho in pastorek/pastorka) </w:t>
      </w:r>
    </w:p>
    <w:p w:rsidR="00B43260" w:rsidRPr="008F606E" w:rsidRDefault="00B43260" w:rsidP="00B43260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DOLŽNOST PREŽIVLJANJA OTROKA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preživljanje otroka je </w:t>
      </w:r>
      <w:r w:rsidRPr="008F606E">
        <w:rPr>
          <w:rFonts w:ascii="Calibri" w:hAnsi="Calibri"/>
          <w:b/>
          <w:iCs/>
        </w:rPr>
        <w:t>pomembna dolžnost staršev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dolžnost preživljanja je </w:t>
      </w:r>
      <w:r w:rsidRPr="008F606E">
        <w:rPr>
          <w:rFonts w:ascii="Calibri" w:hAnsi="Calibri"/>
          <w:b/>
          <w:iCs/>
        </w:rPr>
        <w:t>neodvisna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/>
          <w:iCs/>
        </w:rPr>
        <w:t>od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/>
          <w:iCs/>
        </w:rPr>
        <w:t>roditeljske pravice</w:t>
      </w:r>
      <w:r w:rsidRPr="008F606E">
        <w:rPr>
          <w:rFonts w:ascii="Calibri" w:hAnsi="Calibri"/>
        </w:rPr>
        <w:t xml:space="preserve">, saj morajo starši preživljati otroke tudi 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u w:val="single"/>
        </w:rPr>
      </w:pPr>
      <w:r w:rsidRPr="008F606E">
        <w:rPr>
          <w:rFonts w:ascii="Calibri" w:hAnsi="Calibri"/>
          <w:u w:val="single"/>
        </w:rPr>
        <w:t>po odvzemu roditeljske pravice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po prenehanju roditeljske pravice</w:t>
      </w:r>
      <w:r w:rsidRPr="008F606E">
        <w:rPr>
          <w:rFonts w:ascii="Calibri" w:hAnsi="Calibri"/>
        </w:rPr>
        <w:t>: če otrok redno študira, če otrok zaradi prizadetosti ni sposoben za pridobivanje in nima sredstev za življenje, če je sklenil zakonsko zvezo in ga zakonec ni sposoben preživljati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če otroci in starši živijo skupaj, se otroka preživlja </w:t>
      </w:r>
      <w:r w:rsidRPr="008F606E">
        <w:rPr>
          <w:rFonts w:ascii="Calibri" w:hAnsi="Calibri"/>
          <w:b/>
          <w:iCs/>
        </w:rPr>
        <w:t>v okviru skupnega gospodinjstva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right="-80"/>
        <w:rPr>
          <w:rFonts w:ascii="Calibri" w:hAnsi="Calibri"/>
          <w:bCs/>
          <w:iCs/>
        </w:rPr>
      </w:pPr>
      <w:r w:rsidRPr="008F606E">
        <w:rPr>
          <w:rFonts w:ascii="Calibri" w:hAnsi="Calibri"/>
          <w:bCs/>
          <w:iCs/>
        </w:rPr>
        <w:t xml:space="preserve">če otroci in starši ne živijo skupaj, je tisti starš, ki nima otroka pri sebi, dolžan </w:t>
      </w:r>
      <w:r w:rsidRPr="008F606E">
        <w:rPr>
          <w:rFonts w:ascii="Calibri" w:hAnsi="Calibri"/>
          <w:b/>
          <w:iCs/>
        </w:rPr>
        <w:t>prispevati za preživljanje v denarju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right="-6"/>
        <w:rPr>
          <w:rFonts w:ascii="Calibri" w:hAnsi="Calibri"/>
        </w:rPr>
      </w:pPr>
      <w:r w:rsidRPr="008F606E">
        <w:rPr>
          <w:rFonts w:ascii="Calibri" w:hAnsi="Calibri"/>
          <w:b/>
          <w:iCs/>
        </w:rPr>
        <w:t>preživljanje otroka</w:t>
      </w:r>
      <w:r w:rsidRPr="008F606E">
        <w:rPr>
          <w:rFonts w:ascii="Calibri" w:hAnsi="Calibri"/>
          <w:bCs/>
          <w:iCs/>
        </w:rPr>
        <w:t xml:space="preserve"> pomeni pokrivanje izdatkov za življenje, vzgojo, šolanje in izobraževanje otroka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right="-6"/>
        <w:rPr>
          <w:rFonts w:ascii="Calibri" w:hAnsi="Calibri"/>
        </w:rPr>
      </w:pPr>
      <w:r w:rsidRPr="008F606E">
        <w:rPr>
          <w:rFonts w:ascii="Calibri" w:hAnsi="Calibri"/>
          <w:b/>
          <w:iCs/>
        </w:rPr>
        <w:t>obseg obveznosti</w:t>
      </w:r>
      <w:r w:rsidRPr="008F606E">
        <w:rPr>
          <w:rFonts w:ascii="Calibri" w:hAnsi="Calibri"/>
          <w:bCs/>
          <w:iCs/>
        </w:rPr>
        <w:t xml:space="preserve"> se ravna po potrebah otroka in zmožnostih staršev – </w:t>
      </w:r>
      <w:r w:rsidRPr="008F606E">
        <w:rPr>
          <w:rFonts w:ascii="Calibri" w:hAnsi="Calibri"/>
        </w:rPr>
        <w:t>starši morajo otroku zagotoviti vsaj eksistenčni minimum, v ta namen morajo izkoristiti vse možnosti za zaslužek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right="-6"/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višina prispevanja v denarju</w:t>
      </w:r>
      <w:r w:rsidRPr="008F606E">
        <w:rPr>
          <w:rFonts w:ascii="Calibri" w:hAnsi="Calibri"/>
        </w:rPr>
        <w:t xml:space="preserve"> se odmeri glede na dohodek iz delovnega razmerja in glede na vse finančne vire, tudi potencialne </w:t>
      </w:r>
      <w:r w:rsidRPr="008F606E">
        <w:rPr>
          <w:rFonts w:ascii="Calibri" w:hAnsi="Calibri"/>
          <w:i/>
          <w:iCs/>
        </w:rPr>
        <w:t>(upoštevajo se dohodki, ki jih daje kmetija, lastnina nepremičnine, položaj glede dolgov)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right="-6"/>
        <w:rPr>
          <w:rFonts w:ascii="Calibri" w:hAnsi="Calibri"/>
        </w:rPr>
      </w:pPr>
      <w:r w:rsidRPr="008F606E">
        <w:rPr>
          <w:rFonts w:ascii="Calibri" w:hAnsi="Calibri"/>
        </w:rPr>
        <w:t>če je premoženjsko stanje zavezanca izredno dobro, mora omogočiti otroku nadpovprečni življenjski standard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right="-6"/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če ima otrok lastne dohodke iz dela</w:t>
      </w:r>
      <w:r w:rsidRPr="008F606E">
        <w:rPr>
          <w:rFonts w:ascii="Calibri" w:hAnsi="Calibri"/>
          <w:iCs/>
        </w:rPr>
        <w:t>, je dolžan prispevati za svoje preživljanje izobraževanje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right="-6"/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če ima otrok dohodke iz premoženja</w:t>
      </w:r>
      <w:r w:rsidRPr="008F606E">
        <w:rPr>
          <w:rFonts w:ascii="Calibri" w:hAnsi="Calibri"/>
        </w:rPr>
        <w:t>, se uporabijo za njegovo preživljanje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iCs/>
        </w:rPr>
      </w:pPr>
      <w:r w:rsidRPr="008F606E">
        <w:rPr>
          <w:rFonts w:ascii="Calibri" w:hAnsi="Calibri"/>
          <w:bCs/>
          <w:iCs/>
        </w:rPr>
        <w:t xml:space="preserve">Konvencija: starši morajo v skladu s svojimi možnostmi </w:t>
      </w:r>
      <w:r w:rsidRPr="008F606E">
        <w:rPr>
          <w:rFonts w:ascii="Calibri" w:hAnsi="Calibri"/>
          <w:b/>
          <w:iCs/>
        </w:rPr>
        <w:t>zagotoviti življenjske razmere, ki so potrebne za otrokov razvoj</w:t>
      </w:r>
      <w:r w:rsidRPr="008F606E">
        <w:rPr>
          <w:rFonts w:ascii="Calibri" w:hAnsi="Calibri"/>
          <w:bCs/>
          <w:iCs/>
        </w:rPr>
        <w:t>, otroku je treba zagotoviti preživnino doma in v tujini</w:t>
      </w:r>
    </w:p>
    <w:p w:rsidR="00B43260" w:rsidRPr="008F606E" w:rsidRDefault="00B43260" w:rsidP="00B43260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 xml:space="preserve">DOLŽNOST PREŽIVLJANJA STARŠEV 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polnoletni otroci so dolžni preživljati svoje starše, če so ti nesposobni za delo in nimajo sredstev za preživljanje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right="-54"/>
        <w:rPr>
          <w:rFonts w:ascii="Calibri" w:hAnsi="Calibri"/>
        </w:rPr>
      </w:pPr>
      <w:r w:rsidRPr="008F606E">
        <w:rPr>
          <w:rFonts w:ascii="Calibri" w:hAnsi="Calibri"/>
        </w:rPr>
        <w:t>vendar je otrok dolžan preživljati samo starša, ki je izpolnjeval preživninsko obveznosti – zaradi načela vzajemnosti</w:t>
      </w:r>
    </w:p>
    <w:p w:rsidR="00B43260" w:rsidRPr="008F606E" w:rsidRDefault="00B43260" w:rsidP="00B43260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II. ZNAČILNOSTI PREŽIVNINE</w:t>
      </w:r>
    </w:p>
    <w:p w:rsidR="00B43260" w:rsidRPr="008F606E" w:rsidRDefault="00B43260" w:rsidP="00B43260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DOLOČANJE PREŽIVNINE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preživnina se določi</w:t>
      </w:r>
      <w:r w:rsidRPr="008F606E">
        <w:rPr>
          <w:rFonts w:ascii="Calibri" w:hAnsi="Calibri"/>
          <w:b/>
          <w:bCs/>
        </w:rPr>
        <w:t xml:space="preserve"> glede na potrebe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preživninskega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upravičenca</w:t>
      </w:r>
      <w:r w:rsidRPr="008F606E">
        <w:rPr>
          <w:rFonts w:ascii="Calibri" w:hAnsi="Calibri"/>
        </w:rPr>
        <w:t xml:space="preserve"> in </w:t>
      </w:r>
      <w:r w:rsidRPr="008F606E">
        <w:rPr>
          <w:rFonts w:ascii="Calibri" w:hAnsi="Calibri"/>
          <w:b/>
          <w:bCs/>
        </w:rPr>
        <w:t>zmožnosti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preživninskega zavezanca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je zavezancev več, se </w:t>
      </w:r>
      <w:r w:rsidRPr="008F606E">
        <w:rPr>
          <w:rFonts w:ascii="Calibri" w:hAnsi="Calibri"/>
          <w:b/>
          <w:bCs/>
        </w:rPr>
        <w:t>breme porazdeli</w:t>
      </w:r>
      <w:r w:rsidRPr="008F606E">
        <w:rPr>
          <w:rFonts w:ascii="Calibri" w:hAnsi="Calibri"/>
        </w:rPr>
        <w:t xml:space="preserve"> mednje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o preživnini lahko skleneta zavezanec in upravičenec </w:t>
      </w:r>
      <w:r w:rsidRPr="008F606E">
        <w:rPr>
          <w:rFonts w:ascii="Calibri" w:hAnsi="Calibri"/>
          <w:b/>
          <w:bCs/>
        </w:rPr>
        <w:t xml:space="preserve">dogovor pred CSD </w:t>
      </w:r>
      <w:r w:rsidRPr="008F606E">
        <w:rPr>
          <w:rFonts w:ascii="Calibri" w:hAnsi="Calibri"/>
        </w:rPr>
        <w:t>– dogovor je izvršilni naslov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do dogovora ne pride, se </w:t>
      </w:r>
      <w:r w:rsidRPr="008F606E">
        <w:rPr>
          <w:rFonts w:ascii="Calibri" w:hAnsi="Calibri"/>
          <w:b/>
        </w:rPr>
        <w:t>preživnina zahteva s tožbo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odpoved preživnini vnaprej nima pravnega učinka</w:t>
      </w:r>
      <w:r w:rsidRPr="008F606E">
        <w:rPr>
          <w:rFonts w:ascii="Calibri" w:hAnsi="Calibri"/>
          <w:iCs/>
        </w:rPr>
        <w:t xml:space="preserve"> – praksa odstopa od tega načela pri preživljanju zakonca</w:t>
      </w:r>
    </w:p>
    <w:p w:rsidR="00B43260" w:rsidRPr="008F606E" w:rsidRDefault="00B43260" w:rsidP="00B43260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ODLOČANJE SODIŠČA V ZVEZI S PREŽIVLJANJEM OTROK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pri razvezi ali razveljavitvi zakonske zveze, </w:t>
      </w:r>
      <w:r w:rsidRPr="008F606E">
        <w:rPr>
          <w:rFonts w:ascii="Calibri" w:hAnsi="Calibri"/>
          <w:b/>
          <w:bCs/>
        </w:rPr>
        <w:t xml:space="preserve">sodišče določi preživljanje otroka v sodbi 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po uradni dolžnosti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na zahtevo upravičenca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lastRenderedPageBreak/>
        <w:t xml:space="preserve">v primeru </w:t>
      </w:r>
      <w:r w:rsidRPr="008F606E">
        <w:rPr>
          <w:rFonts w:ascii="Calibri" w:hAnsi="Calibri"/>
          <w:b/>
          <w:bCs/>
        </w:rPr>
        <w:t>ugotavljanja očetovstva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b/>
          <w:bCs/>
        </w:rPr>
        <w:t>sodišče odloči samo na podlagi ustreznega zahtevka</w:t>
      </w:r>
      <w:r w:rsidRPr="008F606E">
        <w:rPr>
          <w:rFonts w:ascii="Calibri" w:hAnsi="Calibri"/>
        </w:rPr>
        <w:t xml:space="preserve">, le izjemoma lahko določi preživljanje tudi tedaj, ko zahtevek ni postavljen in sodišče ugotovi, da bi bilo preživljanje otroka potrebno 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v nobenem primeru </w:t>
      </w:r>
      <w:r w:rsidRPr="008F606E">
        <w:rPr>
          <w:rFonts w:ascii="Calibri" w:hAnsi="Calibri"/>
          <w:b/>
          <w:bCs/>
          <w:iCs/>
        </w:rPr>
        <w:t>sodišče ni vezano na postavljeni zahtevek</w:t>
      </w:r>
      <w:r w:rsidRPr="008F606E">
        <w:rPr>
          <w:rFonts w:ascii="Calibri" w:hAnsi="Calibri"/>
          <w:iCs/>
        </w:rPr>
        <w:t xml:space="preserve"> </w:t>
      </w:r>
      <w:r w:rsidRPr="008F606E">
        <w:rPr>
          <w:rFonts w:ascii="Calibri" w:hAnsi="Calibri"/>
          <w:i/>
        </w:rPr>
        <w:t>(ni treba da določi takšno preživnino kot je v zahtevku)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se preživljanje ne določi v sodbi, se lahko </w:t>
      </w:r>
      <w:r w:rsidRPr="008F606E">
        <w:rPr>
          <w:rFonts w:ascii="Calibri" w:hAnsi="Calibri"/>
          <w:b/>
          <w:bCs/>
        </w:rPr>
        <w:t>zahteva s posebno tožbo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za otroke, ki niso polnoletni, toži in postavi zahtevek za preživnino zakonec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>otroci, ki so polnoletni in se redno šolajo, sami tožijo starša in sami postavijo zahtevek za preživnino</w:t>
      </w:r>
    </w:p>
    <w:p w:rsidR="00B43260" w:rsidRPr="008F606E" w:rsidRDefault="00B43260" w:rsidP="00B43260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VALORIZACIJA PREŽIVNINE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Ministrstvo za delo, družino in socialne zadeve </w:t>
      </w:r>
      <w:r w:rsidRPr="008F606E">
        <w:rPr>
          <w:rFonts w:ascii="Calibri" w:hAnsi="Calibri"/>
          <w:b/>
          <w:bCs/>
        </w:rPr>
        <w:t>valorizira preživnine</w:t>
      </w:r>
      <w:r w:rsidRPr="008F606E">
        <w:rPr>
          <w:rFonts w:ascii="Calibri" w:hAnsi="Calibri"/>
        </w:rPr>
        <w:t xml:space="preserve"> glede na gibanje stroškov in plač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CSD </w:t>
      </w:r>
      <w:r w:rsidRPr="008F606E">
        <w:rPr>
          <w:rFonts w:ascii="Calibri" w:hAnsi="Calibri"/>
          <w:b/>
          <w:bCs/>
        </w:rPr>
        <w:t>o valorizaciji preživnine obvesti zavezanca in upravičenca do preživnine</w:t>
      </w:r>
      <w:r w:rsidRPr="008F606E">
        <w:rPr>
          <w:rFonts w:ascii="Calibri" w:hAnsi="Calibri"/>
        </w:rPr>
        <w:t xml:space="preserve"> – izvršilni naslov sta sodna odločba o preživnini/dogovor o preživnini in obvestilo o valorizaciji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določbe o valorizaciji se lahko tudi dogovorijo</w:t>
      </w:r>
      <w:r w:rsidRPr="008F606E">
        <w:rPr>
          <w:rFonts w:ascii="Calibri" w:hAnsi="Calibri"/>
        </w:rPr>
        <w:t xml:space="preserve"> pri CSD – če je dogovorjeni način za zavezanca ugodnejši od zakonskega, se uporablja dogovorjeni način, ki je ugodnejši </w:t>
      </w:r>
    </w:p>
    <w:p w:rsidR="00B43260" w:rsidRPr="008F606E" w:rsidRDefault="00B43260" w:rsidP="00B43260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SPREMEMBA VIŠINE PREŽIVNINE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preživninski upravičenec in preživninski zavezanec lahko zahtevata od sodišča, da </w:t>
      </w:r>
      <w:r w:rsidRPr="008F606E">
        <w:rPr>
          <w:rFonts w:ascii="Calibri" w:hAnsi="Calibri"/>
          <w:b/>
          <w:bCs/>
        </w:rPr>
        <w:t>spremeni višino preživnine</w:t>
      </w:r>
      <w:r w:rsidRPr="008F606E">
        <w:rPr>
          <w:rFonts w:ascii="Calibri" w:hAnsi="Calibri"/>
        </w:rPr>
        <w:t xml:space="preserve">, če se spremenijo okoliščine preživljanja </w:t>
      </w:r>
      <w:r w:rsidRPr="008F606E">
        <w:rPr>
          <w:rFonts w:ascii="Calibri" w:hAnsi="Calibri"/>
          <w:i/>
        </w:rPr>
        <w:t xml:space="preserve">(rebus </w:t>
      </w:r>
      <w:proofErr w:type="spellStart"/>
      <w:r w:rsidRPr="008F606E">
        <w:rPr>
          <w:rFonts w:ascii="Calibri" w:hAnsi="Calibri"/>
          <w:i/>
        </w:rPr>
        <w:t>sic</w:t>
      </w:r>
      <w:proofErr w:type="spellEnd"/>
      <w:r w:rsidRPr="008F606E">
        <w:rPr>
          <w:rFonts w:ascii="Calibri" w:hAnsi="Calibri"/>
          <w:i/>
        </w:rPr>
        <w:t xml:space="preserve"> </w:t>
      </w:r>
      <w:proofErr w:type="spellStart"/>
      <w:r w:rsidRPr="008F606E">
        <w:rPr>
          <w:rFonts w:ascii="Calibri" w:hAnsi="Calibri"/>
          <w:i/>
        </w:rPr>
        <w:t>stantibus</w:t>
      </w:r>
      <w:proofErr w:type="spellEnd"/>
      <w:r w:rsidRPr="008F606E">
        <w:rPr>
          <w:rFonts w:ascii="Calibri" w:hAnsi="Calibri"/>
          <w:i/>
        </w:rPr>
        <w:t>)</w:t>
      </w:r>
      <w:r w:rsidRPr="008F606E">
        <w:rPr>
          <w:rFonts w:ascii="Calibri" w:hAnsi="Calibri"/>
        </w:rPr>
        <w:t xml:space="preserve">, na podlagi katerih je bil sklenjen sporazum ali izdana odločba – </w:t>
      </w:r>
      <w:r w:rsidRPr="008F606E">
        <w:rPr>
          <w:rFonts w:ascii="Calibri" w:hAnsi="Calibri"/>
          <w:b/>
          <w:bCs/>
        </w:rPr>
        <w:t xml:space="preserve">če se spremenijo zmožnosti zavezanca ali potrebe upravičenca 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pravico zahtevati povečanje preživnine za otroka ima roditelj, pri katerem otrok živi do otrokove polnoletnosti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dokler teče pravda o preživljanju, se </w:t>
      </w:r>
      <w:r w:rsidRPr="008F606E">
        <w:rPr>
          <w:rFonts w:ascii="Calibri" w:hAnsi="Calibri"/>
          <w:b/>
          <w:bCs/>
          <w:iCs/>
        </w:rPr>
        <w:t>preživljanje zagotovi z začasno odredbo</w:t>
      </w:r>
    </w:p>
    <w:p w:rsidR="00B43260" w:rsidRPr="008F606E" w:rsidRDefault="00B43260" w:rsidP="00B43260">
      <w:pPr>
        <w:pStyle w:val="Heading2"/>
        <w:rPr>
          <w:rFonts w:ascii="Calibri" w:hAnsi="Calibri"/>
          <w:iCs w:val="0"/>
        </w:rPr>
      </w:pPr>
      <w:r w:rsidRPr="008F606E">
        <w:rPr>
          <w:rFonts w:ascii="Calibri" w:hAnsi="Calibri"/>
        </w:rPr>
        <w:t>POVRAČILO STROŠKOV PREŽIVLJANJA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povračilo stroškov</w:t>
      </w:r>
      <w:r w:rsidRPr="008F606E">
        <w:rPr>
          <w:rFonts w:ascii="Calibri" w:hAnsi="Calibri"/>
          <w:iCs/>
        </w:rPr>
        <w:t xml:space="preserve">, ki so bili potrebni ali upravičeni za </w:t>
      </w:r>
      <w:r w:rsidRPr="008F606E">
        <w:rPr>
          <w:rFonts w:ascii="Calibri" w:hAnsi="Calibri"/>
        </w:rPr>
        <w:t>preživljanje</w:t>
      </w:r>
      <w:r w:rsidRPr="008F606E">
        <w:rPr>
          <w:rFonts w:ascii="Calibri" w:hAnsi="Calibri"/>
          <w:b/>
          <w:bCs/>
          <w:iCs/>
        </w:rPr>
        <w:t xml:space="preserve"> </w:t>
      </w:r>
      <w:r w:rsidRPr="008F606E">
        <w:rPr>
          <w:rFonts w:ascii="Calibri" w:hAnsi="Calibri"/>
          <w:iCs/>
        </w:rPr>
        <w:t>lahko zahteva: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</w:rPr>
        <w:t>oseba, ki preživlja preživninskega upravičenca namesto preživninskega zavezanca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</w:rPr>
        <w:t>preživninski zavezanec</w:t>
      </w:r>
      <w:r w:rsidRPr="008F606E">
        <w:rPr>
          <w:rFonts w:ascii="Calibri" w:hAnsi="Calibri"/>
        </w:rPr>
        <w:t xml:space="preserve">, ki je dolžan preživljati </w:t>
      </w:r>
      <w:r w:rsidRPr="008F606E">
        <w:rPr>
          <w:rFonts w:ascii="Calibri" w:hAnsi="Calibri"/>
          <w:iCs/>
        </w:rPr>
        <w:t>preživninskega</w:t>
      </w:r>
      <w:r w:rsidRPr="008F606E">
        <w:rPr>
          <w:rFonts w:ascii="Calibri" w:hAnsi="Calibri"/>
        </w:rPr>
        <w:t xml:space="preserve"> upravičenca, vendar ni edini zavezanec 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povračila ne more zahtevati oseba, ki je nekoga preživljala z darilnim namenom ali se je povračilu odpovedala</w:t>
      </w:r>
    </w:p>
    <w:p w:rsidR="00B43260" w:rsidRPr="008F606E" w:rsidRDefault="00B43260" w:rsidP="00B43260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ZNAČILNOSTI PRAVICE DO PREŽIVLJANJA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preživljanje je zakonska pravica in dolžnost</w:t>
      </w:r>
      <w:r w:rsidRPr="008F606E">
        <w:rPr>
          <w:rFonts w:ascii="Calibri" w:hAnsi="Calibri"/>
        </w:rPr>
        <w:t>: zakon določa upravičence, zavezance in pogoje preživljanja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preživljanje je osebna pravica in dolžnost</w:t>
      </w:r>
      <w:r w:rsidRPr="008F606E">
        <w:rPr>
          <w:rFonts w:ascii="Calibri" w:hAnsi="Calibri"/>
        </w:rPr>
        <w:t>: ne more se prenašati na drugega niti med živimi niti v primeru smrti, s smrtjo zavezanca ali upravičenca ugasne, posamezni zapadli obroki se lahko podedujejo, preživninski zahtevek se ne more odstopiti, ne zastaviti, ne zarubiti, ne pobotati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</w:rPr>
        <w:t>preživljanju se ni možno vnaprej odpovedati</w:t>
      </w:r>
      <w:r w:rsidRPr="008F606E">
        <w:rPr>
          <w:rFonts w:ascii="Calibri" w:hAnsi="Calibri"/>
        </w:rPr>
        <w:t>: praksa odstopa od tega načela pri preživljanju zakoncev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preživljanje se ne prisodi po uradni dolžnosti</w:t>
      </w:r>
      <w:r w:rsidRPr="008F606E">
        <w:rPr>
          <w:rFonts w:ascii="Calibri" w:hAnsi="Calibri"/>
        </w:rPr>
        <w:t>: razen preživljanja za otroka po starših ob razvezi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</w:rPr>
        <w:t>preživnina ne more zastarati</w:t>
      </w:r>
      <w:r w:rsidRPr="008F606E">
        <w:rPr>
          <w:rFonts w:ascii="Calibri" w:hAnsi="Calibri"/>
        </w:rPr>
        <w:t xml:space="preserve">: zastarajo samo posamezni preživninski obroki, kot posledica načela, da </w:t>
      </w:r>
      <w:r w:rsidRPr="008F606E">
        <w:rPr>
          <w:rFonts w:ascii="Calibri" w:hAnsi="Calibri"/>
          <w:bCs/>
        </w:rPr>
        <w:t>n</w:t>
      </w:r>
      <w:r w:rsidRPr="008F606E">
        <w:rPr>
          <w:rFonts w:ascii="Calibri" w:hAnsi="Calibri"/>
        </w:rPr>
        <w:t xml:space="preserve">ihče ni dolžan preživljati za nazaj </w:t>
      </w:r>
      <w:r w:rsidRPr="008F606E">
        <w:rPr>
          <w:rFonts w:ascii="Calibri" w:hAnsi="Calibri"/>
          <w:i/>
          <w:iCs/>
        </w:rPr>
        <w:t xml:space="preserve">(nemo </w:t>
      </w:r>
      <w:proofErr w:type="spellStart"/>
      <w:r w:rsidRPr="008F606E">
        <w:rPr>
          <w:rFonts w:ascii="Calibri" w:hAnsi="Calibri"/>
          <w:i/>
          <w:iCs/>
        </w:rPr>
        <w:t>pro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praeterito</w:t>
      </w:r>
      <w:proofErr w:type="spellEnd"/>
      <w:r w:rsidRPr="008F606E">
        <w:rPr>
          <w:rFonts w:ascii="Calibri" w:hAnsi="Calibri"/>
          <w:i/>
          <w:iCs/>
        </w:rPr>
        <w:t xml:space="preserve"> </w:t>
      </w:r>
      <w:proofErr w:type="spellStart"/>
      <w:r w:rsidRPr="008F606E">
        <w:rPr>
          <w:rFonts w:ascii="Calibri" w:hAnsi="Calibri"/>
          <w:i/>
          <w:iCs/>
        </w:rPr>
        <w:t>alitur</w:t>
      </w:r>
      <w:proofErr w:type="spellEnd"/>
      <w:r w:rsidRPr="008F606E">
        <w:rPr>
          <w:rFonts w:ascii="Calibri" w:hAnsi="Calibri"/>
          <w:i/>
          <w:iCs/>
        </w:rPr>
        <w:t>)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preživljanje se lahko prisodi le za naprej</w:t>
      </w:r>
      <w:r w:rsidRPr="008F606E">
        <w:rPr>
          <w:rFonts w:ascii="Calibri" w:hAnsi="Calibri"/>
        </w:rPr>
        <w:t>: preživnina se prisodi od dneva ko je bil postavljen zahtevek</w:t>
      </w:r>
    </w:p>
    <w:p w:rsidR="00B43260" w:rsidRPr="008F606E" w:rsidRDefault="00B43260" w:rsidP="00B4326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  <w:iCs/>
        </w:rPr>
        <w:t>preživninska terjatev ima v izvršbi prednost pred ostalimi terjatvami</w:t>
      </w:r>
      <w:r w:rsidRPr="008F606E">
        <w:rPr>
          <w:rFonts w:ascii="Calibri" w:hAnsi="Calibri"/>
        </w:rPr>
        <w:t>: za poplačilo premoženjskih terjatev se v izvršbi poseže na dve tretjini prejemkov</w:t>
      </w:r>
    </w:p>
    <w:p w:rsidR="00DB2CAF" w:rsidRPr="00B43260" w:rsidRDefault="00B43260" w:rsidP="00B43260">
      <w:r w:rsidRPr="008F606E">
        <w:rPr>
          <w:rFonts w:ascii="Calibri" w:hAnsi="Calibri"/>
          <w:b/>
          <w:bCs/>
          <w:iCs/>
        </w:rPr>
        <w:t>zavezanec ne more od upravičenca zahtevati, naj mu povrne preživljanje</w:t>
      </w:r>
      <w:r w:rsidRPr="008F606E">
        <w:rPr>
          <w:rFonts w:ascii="Calibri" w:hAnsi="Calibri"/>
        </w:rPr>
        <w:t>: po koncu preživljanja starši od polnoletnih otrok ne morejo zahtevati, naj vrnejo preživljanje</w:t>
      </w:r>
      <w:bookmarkStart w:id="0" w:name="_GoBack"/>
      <w:bookmarkEnd w:id="0"/>
    </w:p>
    <w:sectPr w:rsidR="00DB2CAF" w:rsidRPr="00B4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7074FF"/>
    <w:rsid w:val="00977972"/>
    <w:rsid w:val="00B43260"/>
    <w:rsid w:val="00CA67D4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2013-09-28T17:42:00Z</dcterms:created>
  <dcterms:modified xsi:type="dcterms:W3CDTF">2013-09-28T17:42:00Z</dcterms:modified>
</cp:coreProperties>
</file>