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0" w:rsidRDefault="00893430" w:rsidP="00893430">
      <w:pPr>
        <w:pStyle w:val="Naslov0"/>
        <w:jc w:val="center"/>
      </w:pPr>
      <w:r>
        <w:t>POJEM IN DEFINICIJA KAZNIVEGA DEJANJA</w:t>
      </w:r>
    </w:p>
    <w:p w:rsidR="00893430" w:rsidRDefault="00893430" w:rsidP="00893430"/>
    <w:p w:rsidR="00893430" w:rsidRDefault="00893430" w:rsidP="00893430">
      <w:pPr>
        <w:numPr>
          <w:ilvl w:val="0"/>
          <w:numId w:val="1"/>
        </w:numPr>
      </w:pPr>
      <w:r>
        <w:t>temeljni pojmi splošnega dela kazenskega prava so: kaznivo dejanje, kazenska odgovornost in kazenske sankcije</w:t>
      </w:r>
    </w:p>
    <w:p w:rsidR="00893430" w:rsidRDefault="00893430" w:rsidP="00893430">
      <w:pPr>
        <w:numPr>
          <w:ilvl w:val="0"/>
          <w:numId w:val="1"/>
        </w:numPr>
      </w:pPr>
      <w:r>
        <w:t>ti pojmi imajo tako visoko stopnjo abstrakcije, da pokrijejo vsako kaznivo dejanje, vsako obliko in stopnjo kazenske odgovornosti ter vse vrste in oblike kazenskih sankcij</w:t>
      </w:r>
    </w:p>
    <w:p w:rsidR="00893430" w:rsidRDefault="00893430" w:rsidP="00893430">
      <w:pPr>
        <w:numPr>
          <w:ilvl w:val="0"/>
          <w:numId w:val="1"/>
        </w:numPr>
      </w:pPr>
      <w:r>
        <w:t>hkrati so tako konkretni, da jasno razmejijo kaznivo dejanje od nekaznivega, kazensko odgovornega storilca od neodgovornega in kazenske sankcije od drugih pravnih sankcij</w:t>
      </w:r>
    </w:p>
    <w:p w:rsidR="00893430" w:rsidRDefault="00893430" w:rsidP="00893430">
      <w:pPr>
        <w:jc w:val="both"/>
      </w:pPr>
    </w:p>
    <w:p w:rsidR="00893430" w:rsidRDefault="00893430" w:rsidP="00893430">
      <w:pPr>
        <w:pStyle w:val="Heading1"/>
        <w:jc w:val="both"/>
      </w:pPr>
      <w:r>
        <w:t>I. SOCIALNI IN MORALNO-ETIČNI POJEM KAZNIVEGA DEJANJA</w:t>
      </w:r>
    </w:p>
    <w:p w:rsidR="00893430" w:rsidRDefault="00893430" w:rsidP="00893430">
      <w:pPr>
        <w:numPr>
          <w:ilvl w:val="0"/>
          <w:numId w:val="1"/>
        </w:numPr>
      </w:pPr>
      <w:r>
        <w:t xml:space="preserve">temeljni kriterij, ki razmejuje kazniva dejanja od nekaznivih in opredeljuje cono kriminalnosti je </w:t>
      </w:r>
      <w:r>
        <w:rPr>
          <w:b/>
          <w:bCs/>
        </w:rPr>
        <w:t>negativna družbena ali moralno-etična vsebina dejanja</w:t>
      </w:r>
    </w:p>
    <w:p w:rsidR="00893430" w:rsidRDefault="00893430" w:rsidP="00893430">
      <w:pPr>
        <w:numPr>
          <w:ilvl w:val="0"/>
          <w:numId w:val="1"/>
        </w:numPr>
      </w:pPr>
      <w:r>
        <w:t xml:space="preserve">za </w:t>
      </w:r>
      <w:r>
        <w:rPr>
          <w:b/>
          <w:bCs/>
        </w:rPr>
        <w:t>kazniva</w:t>
      </w:r>
      <w:r>
        <w:t xml:space="preserve"> štejemo tista dejanja, ki </w:t>
      </w:r>
      <w:r>
        <w:rPr>
          <w:b/>
          <w:bCs/>
        </w:rPr>
        <w:t>imajo</w:t>
      </w:r>
      <w:r>
        <w:t xml:space="preserve"> </w:t>
      </w:r>
      <w:r>
        <w:rPr>
          <w:b/>
          <w:bCs/>
        </w:rPr>
        <w:t>negativno družbeno ali moralno-etično vsebino</w:t>
      </w:r>
      <w:r>
        <w:t>, ker posegajo v temeljne družbene odnose in napadajo ali ogrožajo temeljne človekove in družbene vrednote</w:t>
      </w:r>
    </w:p>
    <w:p w:rsidR="00893430" w:rsidRDefault="00893430" w:rsidP="00893430">
      <w:pPr>
        <w:numPr>
          <w:ilvl w:val="0"/>
          <w:numId w:val="1"/>
        </w:numPr>
      </w:pPr>
      <w:r>
        <w:t xml:space="preserve">vendar so </w:t>
      </w:r>
      <w:r>
        <w:rPr>
          <w:b/>
          <w:bCs/>
        </w:rPr>
        <w:t>kazniva</w:t>
      </w:r>
      <w:r>
        <w:t xml:space="preserve"> tudi nekatera dejanja, ki v družbi </w:t>
      </w:r>
      <w:r>
        <w:rPr>
          <w:b/>
          <w:bCs/>
        </w:rPr>
        <w:t>nimajo negativne moralno-etične vsebine</w:t>
      </w:r>
      <w:r>
        <w:t xml:space="preserve"> – take določbe morajo biti izjemne in zelo utemeljene </w:t>
      </w:r>
      <w:r>
        <w:rPr>
          <w:i/>
          <w:iCs/>
        </w:rPr>
        <w:t>(primer so kazniva dejanja zaradi gospodarskih, političnih ali drugih potreb države)</w:t>
      </w:r>
    </w:p>
    <w:p w:rsidR="00893430" w:rsidRDefault="00893430" w:rsidP="00893430">
      <w:pPr>
        <w:numPr>
          <w:ilvl w:val="0"/>
          <w:numId w:val="1"/>
        </w:numPr>
      </w:pPr>
      <w:r>
        <w:t xml:space="preserve">so pa dejanja, ki načeloma </w:t>
      </w:r>
      <w:r>
        <w:rPr>
          <w:b/>
          <w:bCs/>
        </w:rPr>
        <w:t>imajo negativno moralno-etično vsebino</w:t>
      </w:r>
      <w:r>
        <w:t xml:space="preserve">, vendar jih </w:t>
      </w:r>
      <w:r>
        <w:rPr>
          <w:b/>
          <w:bCs/>
        </w:rPr>
        <w:t>ne štejemo za kazniva dejanja</w:t>
      </w:r>
      <w:r>
        <w:t xml:space="preserve"> s takšnim negativnim predznakom, kot ga navadno taka dejanja imajo, ker pokažemo razumevanje za storilca, zanj ne zahtevamo kazni in obsodbe </w:t>
      </w:r>
      <w:r>
        <w:rPr>
          <w:i/>
          <w:iCs/>
        </w:rPr>
        <w:t>(če otrok ali duševni bolnik stori kaznivo dejanje)</w:t>
      </w:r>
    </w:p>
    <w:p w:rsidR="00893430" w:rsidRDefault="00893430" w:rsidP="00893430">
      <w:pPr>
        <w:jc w:val="both"/>
      </w:pPr>
    </w:p>
    <w:p w:rsidR="00893430" w:rsidRDefault="00893430" w:rsidP="00893430">
      <w:pPr>
        <w:pStyle w:val="Heading1"/>
        <w:jc w:val="both"/>
      </w:pPr>
      <w:r>
        <w:t>II. PRAVNI POJEM IN KONCEPCIJE KAZNIVEGA DEJANJA</w:t>
      </w:r>
    </w:p>
    <w:p w:rsidR="00893430" w:rsidRDefault="00893430" w:rsidP="00893430">
      <w:pPr>
        <w:pStyle w:val="Heading2"/>
        <w:jc w:val="both"/>
      </w:pPr>
      <w:r>
        <w:t>1. ABSTRAKTNI POJEM KAZNIVEGA DEJANJA IN NEGOVA VSEBINA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abstraktni pojem kaznivega dejanja</w:t>
      </w:r>
      <w:r>
        <w:t>: splošne in skupne značilnosti kaznivih dejanj, potem ko odmislimo posebnosti posameznih kaznivih dejanj</w:t>
      </w:r>
    </w:p>
    <w:p w:rsidR="00893430" w:rsidRDefault="00893430" w:rsidP="00893430">
      <w:pPr>
        <w:numPr>
          <w:ilvl w:val="0"/>
          <w:numId w:val="1"/>
        </w:numPr>
      </w:pPr>
      <w:r>
        <w:t xml:space="preserve">do abstraktnega pojma kaznivega dejanja pridemo z </w:t>
      </w:r>
      <w:r>
        <w:rPr>
          <w:b/>
          <w:bCs/>
        </w:rPr>
        <w:t>metodo abstrahiranja</w:t>
      </w:r>
      <w:r>
        <w:t>, s katero iščemo splošne lastnosti, sestavine, značilnosti, tipske znake, ki jih mora imeti človekovo ravnanje, da ga lahko štejemo za kaznivo dejanje</w:t>
      </w:r>
    </w:p>
    <w:p w:rsidR="00893430" w:rsidRDefault="00893430" w:rsidP="00893430">
      <w:pPr>
        <w:numPr>
          <w:ilvl w:val="0"/>
          <w:numId w:val="1"/>
        </w:numPr>
      </w:pPr>
      <w:r>
        <w:t xml:space="preserve">s tem se </w:t>
      </w:r>
      <w:r>
        <w:rPr>
          <w:b/>
          <w:bCs/>
        </w:rPr>
        <w:t>prepreči samovoljo</w:t>
      </w:r>
      <w:r>
        <w:t xml:space="preserve"> pri zakonodajnem določanju kaznivih dejanj in </w:t>
      </w:r>
      <w:r>
        <w:rPr>
          <w:b/>
          <w:bCs/>
        </w:rPr>
        <w:t>postavi načelna izhodišča</w:t>
      </w:r>
      <w:r>
        <w:t xml:space="preserve"> za prepoznavanje kaznivih dejanj v sodni praksi</w:t>
      </w:r>
    </w:p>
    <w:p w:rsidR="00893430" w:rsidRDefault="00893430" w:rsidP="00893430">
      <w:pPr>
        <w:pStyle w:val="Heading2"/>
        <w:jc w:val="both"/>
      </w:pPr>
      <w:r>
        <w:t>2. FORMALNO-MATERIALNA KONCEPCIJA KAZNIVEGA DEJANJA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formalna koncepcija kaznivega dejanja</w:t>
      </w:r>
      <w:r>
        <w:t>:</w:t>
      </w:r>
      <w:r>
        <w:rPr>
          <w:b/>
          <w:bCs/>
        </w:rPr>
        <w:t xml:space="preserve"> </w:t>
      </w:r>
      <w:r>
        <w:t>kaznivo dejanje je tisto dejanje, ki je določeno v kazenski zakonodaji, kaznivo je dejanje, ki je protipravno; problem je da ta koncepcija ne daje nobenega vsebinskega ali vrednostnega kriterija in tako spet dopušča subjektivizem in samovoljo zakonodajalca pri določanju kaznivih dejanj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materialna koncepcija kaznivega dejanja</w:t>
      </w:r>
      <w:r>
        <w:t xml:space="preserve">: kaznivo dejanje je tisto dejanje, ki ima občutno stopnjo škodljivosti ali nevarnosti za družbo, da ga je upravičeno inkriminirati na abstraktni zakonski ravni in kazensko preganjati na konkretni ravni; ta koncepcija poskuša poiskati pojmu protipravnosti materialno in vrednostno vsebino, ki bi zakonodajo obvezovala in omejevala pri izboru tistih dejanj, ki jih bodo šteli za kazniva </w:t>
      </w:r>
    </w:p>
    <w:p w:rsidR="00893430" w:rsidRDefault="00893430" w:rsidP="00893430">
      <w:pPr>
        <w:numPr>
          <w:ilvl w:val="0"/>
          <w:numId w:val="1"/>
        </w:numPr>
        <w:rPr>
          <w:b/>
          <w:bCs/>
        </w:rPr>
      </w:pPr>
      <w:r>
        <w:t xml:space="preserve">KZ uveljavlja </w:t>
      </w:r>
      <w:r>
        <w:rPr>
          <w:b/>
          <w:bCs/>
        </w:rPr>
        <w:t>formalno-materialno koncepcijo kaznivega dejanja</w:t>
      </w:r>
      <w:r>
        <w:t xml:space="preserve">: kaznivo dejanje je </w:t>
      </w:r>
      <w:r>
        <w:rPr>
          <w:u w:val="single"/>
        </w:rPr>
        <w:t>protipravno</w:t>
      </w:r>
      <w:r>
        <w:t xml:space="preserve"> dejanje, ki ga zakon zaradi njegove </w:t>
      </w:r>
      <w:r>
        <w:rPr>
          <w:u w:val="single"/>
        </w:rPr>
        <w:t>nevarnosti</w:t>
      </w:r>
      <w:r>
        <w:t xml:space="preserve"> </w:t>
      </w:r>
      <w:r>
        <w:rPr>
          <w:u w:val="single"/>
        </w:rPr>
        <w:t>določa kot kaznivo dejanje ter hkrati določa njegove znake</w:t>
      </w:r>
      <w:r>
        <w:t xml:space="preserve"> in </w:t>
      </w:r>
      <w:r>
        <w:rPr>
          <w:u w:val="single"/>
        </w:rPr>
        <w:t>kazen</w:t>
      </w:r>
      <w:r>
        <w:t xml:space="preserve"> zanj</w:t>
      </w:r>
    </w:p>
    <w:p w:rsidR="00893430" w:rsidRDefault="00893430" w:rsidP="0089343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definicija kaznivega dejanja ima 4 sestavine</w:t>
      </w:r>
      <w:r>
        <w:t xml:space="preserve">: </w:t>
      </w:r>
    </w:p>
    <w:p w:rsidR="00893430" w:rsidRDefault="00893430" w:rsidP="00893430">
      <w:pPr>
        <w:numPr>
          <w:ilvl w:val="0"/>
          <w:numId w:val="1"/>
        </w:numPr>
        <w:ind w:left="720"/>
        <w:rPr>
          <w:b/>
          <w:bCs/>
        </w:rPr>
      </w:pPr>
      <w:r>
        <w:rPr>
          <w:u w:val="single"/>
        </w:rPr>
        <w:t>protipravnost</w:t>
      </w:r>
      <w:r>
        <w:t>: protipravnost je instrument načela zakonitosti, preprečuje da bi kdorkoli razen zakonodajalca lahko samovoljno ustvarjal nova kazniva dejanja; samo zakonodajni organ lahko določa kazniva dejanja, njega pa ustava obvezuje k spoštovanju legitimnosti inkriminacij – protipravnost je formalna in materialna</w:t>
      </w:r>
    </w:p>
    <w:p w:rsidR="00893430" w:rsidRDefault="00893430" w:rsidP="00893430">
      <w:pPr>
        <w:numPr>
          <w:ilvl w:val="0"/>
          <w:numId w:val="1"/>
        </w:numPr>
        <w:ind w:left="1068"/>
      </w:pPr>
      <w:r>
        <w:rPr>
          <w:i/>
          <w:iCs/>
          <w:spacing w:val="18"/>
        </w:rPr>
        <w:t>formalna protipravnost</w:t>
      </w:r>
      <w:r>
        <w:t xml:space="preserve"> pomeni, da sme zakonodajalec za kaznivo dejanje razglasiti samo takšno dejanje, ki je na podlagi veljavnega ustavnega in pravnega reda izrecno ali molče prepovedano</w:t>
      </w:r>
    </w:p>
    <w:p w:rsidR="00893430" w:rsidRDefault="00893430" w:rsidP="00893430">
      <w:pPr>
        <w:numPr>
          <w:ilvl w:val="0"/>
          <w:numId w:val="1"/>
        </w:numPr>
        <w:ind w:left="1068"/>
        <w:rPr>
          <w:b/>
          <w:bCs/>
        </w:rPr>
      </w:pPr>
      <w:r>
        <w:rPr>
          <w:i/>
          <w:iCs/>
          <w:spacing w:val="16"/>
        </w:rPr>
        <w:lastRenderedPageBreak/>
        <w:t xml:space="preserve">materialna protipravnost </w:t>
      </w:r>
      <w:r>
        <w:t xml:space="preserve">pomeni, da gre za poškodovanje ali ogrožanje kakšne človekove individualne, javne ali družbene pravne dobrine </w:t>
      </w:r>
      <w:r>
        <w:rPr>
          <w:i/>
          <w:iCs/>
        </w:rPr>
        <w:t>(vrednota mora imeti status pravne dobrine, da dobi kazenskopravno varstvo)</w:t>
      </w:r>
    </w:p>
    <w:p w:rsidR="00893430" w:rsidRDefault="00893430" w:rsidP="00893430">
      <w:pPr>
        <w:numPr>
          <w:ilvl w:val="0"/>
          <w:numId w:val="1"/>
        </w:numPr>
        <w:ind w:left="720"/>
        <w:rPr>
          <w:b/>
          <w:bCs/>
        </w:rPr>
      </w:pPr>
      <w:r>
        <w:rPr>
          <w:u w:val="single"/>
        </w:rPr>
        <w:t>nevarnost</w:t>
      </w:r>
      <w:r>
        <w:t xml:space="preserve">: stopnja nevarnosti dejanja je kriterij, ki ga mora upoštevati zakonodajalec, ko se odloča ali bo uvrstil določeno dejanje med kazniva dejanja ali med prekrške; ta kriterij morata upoštevati tudi tožilec in sodišče, ko presojata ali je konkretno dejanje doseglo tolikšno stopnjo nevarnosti, da ga je treba kazensko preganjati; če je stopnja nevarnosti kaznivega dejanja  zelo majhna, takega dejanja ni treba kazensko preganjati, čeprav je protipravno </w:t>
      </w:r>
      <w:r>
        <w:rPr>
          <w:i/>
          <w:iCs/>
        </w:rPr>
        <w:t>(dejanje majhnega pomena)</w:t>
      </w:r>
      <w:r>
        <w:t>; tožilec in sodišče pa ne smeta nevarnega dejanja obravnavati kot kaznivo, če v zakonu ni določeno kot kaznivo dejanja</w:t>
      </w:r>
    </w:p>
    <w:p w:rsidR="00893430" w:rsidRDefault="00893430" w:rsidP="00893430">
      <w:pPr>
        <w:numPr>
          <w:ilvl w:val="0"/>
          <w:numId w:val="1"/>
        </w:numPr>
        <w:ind w:left="720"/>
        <w:rPr>
          <w:b/>
          <w:bCs/>
        </w:rPr>
      </w:pPr>
      <w:r>
        <w:rPr>
          <w:u w:val="single"/>
        </w:rPr>
        <w:t>zakon določa dejanje kot kaznivo in določa njegove znake</w:t>
      </w:r>
      <w:r>
        <w:t>: to zagotavlja izvajanje načela zakonitosti; zakonodajalec mora poskrbeti za čim bolj natančen opis kaznivega dejanja, ki pomaga pravosodni praksi pri odkrivanju kaznivih dejanj, kazenskem pregonu ali sojenju storilcem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rPr>
          <w:u w:val="single"/>
        </w:rPr>
        <w:t>vnaprej določena kazen</w:t>
      </w:r>
      <w:r>
        <w:t xml:space="preserve">: s tem je preprečena samovolja pri izbiri in odmeri kazenskih sankcij; čeprav so kazni določene v razponu, izražajo zakonodajalčevo vrednotenje zavarovane pravne dobrine, napadov nanjo ali njenega ogrožanja; zakonodajalec z določanjem kazni ustvarja hierarhijo vrednot </w:t>
      </w:r>
    </w:p>
    <w:p w:rsidR="00893430" w:rsidRDefault="00893430" w:rsidP="00893430">
      <w:pPr>
        <w:pStyle w:val="Heading2"/>
        <w:jc w:val="both"/>
      </w:pPr>
      <w:r>
        <w:t>3. OBJEKTIVNO-SUBJEKTIVNA KONCEPCIJA KAZNIVEGA DEJANJA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objektivna koncepcija kaznivega dejanja</w:t>
      </w:r>
      <w:r>
        <w:t>: kaznivo je tisto človekovo dejanje, ki je objektivno zaznaven dogodek ali sprememba v zunanjem svetu in pomeni napad na pravno dobrino, poškodbo ali resno ogrozitev; problem je, da zgolj objektivno pojmovanje kaznivega dejanja bi vodilo v objektivno odgovornost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subjektivna koncepcija kaznivega dejanja</w:t>
      </w:r>
      <w:r>
        <w:t>: poudarja kazensko odgovornost oziroma krivdo storilca; problem je, da zgolj subjektivno pojmovanje kaznivega dejanja pomeni, da za obstoj kaznivega dejanja ni potrebno povzročiti posledice, ki je zaznavna v zunanjem svetu, ampak zadostuje negativna vrednostna sodba o človeku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objektivno-subjektivno koncepcijo kaznivega dejanja</w:t>
      </w:r>
      <w:r>
        <w:t>: kaznivo dejanje je ravnanje, delovanje, vedenje, ki je objektivno zaznavno v zunanjem svetu, ki je protipravno, nevarno, določeno v zakonu in ki ga je storil kazensko odgovorni storilec; takšno koncepcijo uveljavlja KZ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formalno-materialna in subjektivno-objektivna opredelitev kaznivega dejanja</w:t>
      </w:r>
      <w:r>
        <w:t xml:space="preserve">: za kaznivo dejanje štejemo tisto dejanje krivega storilca </w:t>
      </w:r>
      <w:r>
        <w:rPr>
          <w:i/>
          <w:iCs/>
        </w:rPr>
        <w:t>(subjektivni znaki)</w:t>
      </w:r>
      <w:r>
        <w:t xml:space="preserve">, ki je protipravno, nevarno in katerega znaki so določeni v zakonu in je zanj vnaprej predpisana kazen </w:t>
      </w:r>
      <w:r>
        <w:rPr>
          <w:i/>
          <w:iCs/>
        </w:rPr>
        <w:t>(objektivni znaki)</w:t>
      </w:r>
    </w:p>
    <w:p w:rsidR="00893430" w:rsidRDefault="00893430" w:rsidP="00893430">
      <w:pPr>
        <w:ind w:firstLine="708"/>
        <w:jc w:val="both"/>
      </w:pPr>
    </w:p>
    <w:p w:rsidR="00893430" w:rsidRDefault="00893430" w:rsidP="00893430">
      <w:pPr>
        <w:pStyle w:val="Heading1"/>
        <w:jc w:val="both"/>
      </w:pPr>
      <w:r>
        <w:t>III. POMEN IN MESTO KAZNIVEGA DEJANJA V KAZENSKEM PRAVU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pojem kaznivega dejanja ima različne pomene in razlage</w:t>
      </w:r>
      <w:r>
        <w:t>: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 xml:space="preserve">je prvi </w:t>
      </w:r>
      <w:r>
        <w:rPr>
          <w:u w:val="single"/>
        </w:rPr>
        <w:t>in temeljni pogoj za uveljavitev kazenskopravne represije in za uporabo kazenskopravnih sankcij</w:t>
      </w:r>
      <w:r>
        <w:t xml:space="preserve"> </w:t>
      </w:r>
      <w:r>
        <w:rPr>
          <w:i/>
          <w:iCs/>
        </w:rPr>
        <w:t>(to zagotavlja človeku, da ne bo predmet samovolje kateregakoli državnega organa)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 xml:space="preserve">je </w:t>
      </w:r>
      <w:r>
        <w:rPr>
          <w:u w:val="single"/>
        </w:rPr>
        <w:t>temeljno merilo pravičnosti</w:t>
      </w:r>
      <w:r>
        <w:t xml:space="preserve"> </w:t>
      </w:r>
      <w:r>
        <w:rPr>
          <w:i/>
          <w:iCs/>
        </w:rPr>
        <w:t>(pravičnost se izraža v sorazmernosti med kaznivim dejanjem in kaznijo)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 xml:space="preserve">je </w:t>
      </w:r>
      <w:r>
        <w:rPr>
          <w:u w:val="single"/>
        </w:rPr>
        <w:t>eden temeljnih kriterijev za individualizacijo kazenskih sankcij</w:t>
      </w:r>
      <w:r>
        <w:t xml:space="preserve"> </w:t>
      </w:r>
      <w:r>
        <w:rPr>
          <w:i/>
          <w:iCs/>
        </w:rPr>
        <w:t>(dve dejanji sta lahko objektivno zelo podobni, subjektivni pa zelo različni, to sodišče upošteva pri izbiri in odmeri kazenske sankcije)</w:t>
      </w:r>
    </w:p>
    <w:p w:rsidR="00893430" w:rsidRDefault="00893430" w:rsidP="00893430">
      <w:pPr>
        <w:jc w:val="both"/>
      </w:pPr>
    </w:p>
    <w:p w:rsidR="00893430" w:rsidRDefault="00893430" w:rsidP="00893430">
      <w:pPr>
        <w:pStyle w:val="Heading1"/>
        <w:jc w:val="both"/>
      </w:pPr>
      <w:r>
        <w:t>IV. TEMELJNI ELEMENTI KAZNIVEGA DEJANJA</w:t>
      </w:r>
    </w:p>
    <w:p w:rsidR="00893430" w:rsidRDefault="00893430" w:rsidP="00893430">
      <w:pPr>
        <w:numPr>
          <w:ilvl w:val="0"/>
          <w:numId w:val="1"/>
        </w:numPr>
      </w:pPr>
      <w:r>
        <w:t xml:space="preserve">pojem kaznivega dejanja ima </w:t>
      </w:r>
      <w:r>
        <w:rPr>
          <w:b/>
          <w:bCs/>
        </w:rPr>
        <w:t>temeljne elemente, ki so splošni in skupni vsakemu kaznivemu dejanju</w:t>
      </w:r>
    </w:p>
    <w:p w:rsidR="00893430" w:rsidRDefault="00893430" w:rsidP="00893430">
      <w:pPr>
        <w:numPr>
          <w:ilvl w:val="0"/>
          <w:numId w:val="1"/>
        </w:numPr>
      </w:pPr>
      <w:r>
        <w:rPr>
          <w:b/>
          <w:bCs/>
        </w:rPr>
        <w:t>temeljni elementi kaznivega dejanja so</w:t>
      </w:r>
      <w:r>
        <w:t xml:space="preserve">: 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>človekovo voljno ravnanje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>določenost v zakonu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>protipravnost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>storilčeva kazenska odgovornost</w:t>
      </w:r>
    </w:p>
    <w:p w:rsidR="00893430" w:rsidRDefault="00893430" w:rsidP="00893430">
      <w:pPr>
        <w:numPr>
          <w:ilvl w:val="0"/>
          <w:numId w:val="1"/>
        </w:numPr>
      </w:pPr>
      <w:r>
        <w:t xml:space="preserve">za kaznivo dejanje </w:t>
      </w:r>
      <w:r>
        <w:rPr>
          <w:b/>
          <w:bCs/>
        </w:rPr>
        <w:t>morajo biti podani vsi temeljni elementi</w:t>
      </w:r>
      <w:r>
        <w:t xml:space="preserve"> – če katerega od elementov ni ali ni dokazan, kaznivega dejanja ni</w:t>
      </w:r>
    </w:p>
    <w:p w:rsidR="00893430" w:rsidRDefault="00893430" w:rsidP="00893430">
      <w:pPr>
        <w:numPr>
          <w:ilvl w:val="0"/>
          <w:numId w:val="1"/>
        </w:numPr>
      </w:pPr>
      <w:r>
        <w:t xml:space="preserve">po 358. členu ZKP </w:t>
      </w:r>
      <w:r>
        <w:rPr>
          <w:b/>
          <w:bCs/>
        </w:rPr>
        <w:t>mora sodišče obtožencu izreči oprostilno sodno</w:t>
      </w:r>
      <w:r>
        <w:t xml:space="preserve">: 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t>če dejanje za katero je obtožen, po zakonu ni kaznivo dejanje</w:t>
      </w:r>
    </w:p>
    <w:p w:rsidR="00893430" w:rsidRDefault="00893430" w:rsidP="00893430">
      <w:pPr>
        <w:numPr>
          <w:ilvl w:val="0"/>
          <w:numId w:val="1"/>
        </w:numPr>
        <w:ind w:left="720"/>
      </w:pPr>
      <w:r>
        <w:lastRenderedPageBreak/>
        <w:t>če so podane okoliščine, ki izključujejo kazensko odgovornosti</w:t>
      </w:r>
    </w:p>
    <w:p w:rsidR="00451EF5" w:rsidRPr="00893430" w:rsidRDefault="00893430" w:rsidP="00893430">
      <w:r>
        <w:t>če ni dokazano, da je obtoženec storil dejanje, za katerega je obtožen</w:t>
      </w:r>
      <w:bookmarkStart w:id="0" w:name="_GoBack"/>
      <w:bookmarkEnd w:id="0"/>
    </w:p>
    <w:sectPr w:rsidR="00451EF5" w:rsidRPr="0089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2"/>
    <w:rsid w:val="00020A3C"/>
    <w:rsid w:val="000F4CD2"/>
    <w:rsid w:val="00371B65"/>
    <w:rsid w:val="00451EF5"/>
    <w:rsid w:val="00893430"/>
    <w:rsid w:val="00A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2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F4CD2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F4CD2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CD2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0F4CD2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styleId="BodyText">
    <w:name w:val="Body Text"/>
    <w:basedOn w:val="Normal"/>
    <w:link w:val="BodyTextChar"/>
    <w:semiHidden/>
    <w:rsid w:val="000F4C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4CD2"/>
    <w:rPr>
      <w:rFonts w:ascii="Garamond" w:eastAsia="Times New Roman" w:hAnsi="Garamond" w:cs="Times New Roman"/>
      <w:szCs w:val="24"/>
      <w:lang w:eastAsia="sl-SI"/>
    </w:rPr>
  </w:style>
  <w:style w:type="paragraph" w:customStyle="1" w:styleId="Naslov0">
    <w:name w:val="Naslov 0"/>
    <w:basedOn w:val="Normal"/>
    <w:rsid w:val="00020A3C"/>
    <w:rPr>
      <w:b/>
      <w:bC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2013-09-28T17:52:00Z</dcterms:created>
  <dcterms:modified xsi:type="dcterms:W3CDTF">2013-09-28T17:52:00Z</dcterms:modified>
</cp:coreProperties>
</file>