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9F3" w:rsidRPr="00BB6713" w:rsidRDefault="00F769F3" w:rsidP="00F769F3">
      <w:pPr>
        <w:rPr>
          <w:b/>
          <w:color w:val="FF6600"/>
          <w:sz w:val="20"/>
          <w:szCs w:val="20"/>
        </w:rPr>
      </w:pPr>
      <w:bookmarkStart w:id="0" w:name="_GoBack"/>
      <w:r w:rsidRPr="00BB6713">
        <w:rPr>
          <w:b/>
          <w:color w:val="FF6600"/>
          <w:sz w:val="20"/>
          <w:szCs w:val="20"/>
        </w:rPr>
        <w:t>BHAGAVADGITA</w:t>
      </w:r>
    </w:p>
    <w:bookmarkEnd w:id="0"/>
    <w:p w:rsidR="00F769F3" w:rsidRPr="00BB6713" w:rsidRDefault="00F769F3" w:rsidP="00F769F3">
      <w:pPr>
        <w:rPr>
          <w:sz w:val="20"/>
          <w:szCs w:val="20"/>
        </w:rPr>
      </w:pPr>
    </w:p>
    <w:p w:rsidR="00F769F3" w:rsidRPr="00BB6713" w:rsidRDefault="00F769F3" w:rsidP="00F769F3">
      <w:pPr>
        <w:rPr>
          <w:sz w:val="20"/>
          <w:szCs w:val="20"/>
        </w:rPr>
      </w:pPr>
      <w:proofErr w:type="spellStart"/>
      <w:r w:rsidRPr="00BB6713">
        <w:rPr>
          <w:sz w:val="20"/>
          <w:szCs w:val="20"/>
        </w:rPr>
        <w:t>Bhagavadgita</w:t>
      </w:r>
      <w:proofErr w:type="spellEnd"/>
      <w:r w:rsidRPr="00BB6713">
        <w:rPr>
          <w:sz w:val="20"/>
          <w:szCs w:val="20"/>
        </w:rPr>
        <w:t xml:space="preserve"> predstavlja najbolj brano hindujsko sveto knjigo. podobno kot Sveto pismo vsebuje in posreduje razodetje Boga, ki človeka ljubi in je milosten do njega, hkrati pa želi, da mu človek ljubezen vrača. V nadaljevanju bom najprej predstavil ep in zgodbo </w:t>
      </w:r>
      <w:proofErr w:type="spellStart"/>
      <w:r w:rsidRPr="00BB6713">
        <w:rPr>
          <w:sz w:val="20"/>
          <w:szCs w:val="20"/>
        </w:rPr>
        <w:t>Bhagavadgite</w:t>
      </w:r>
      <w:proofErr w:type="spellEnd"/>
      <w:r w:rsidRPr="00BB6713">
        <w:rPr>
          <w:sz w:val="20"/>
          <w:szCs w:val="20"/>
        </w:rPr>
        <w:t>, ker je sam potek dogajanja pomemben v razumevanju etičnosti in moralnosti v najstarejšem epu na svetu. Moralno področje je bilo prepuščeno delovanju zakona karme (delo, delovanje), po katerem je vsako človekovo dejanje nujno vzrok posledic, ki bodo človeka zanj doletele v tem življenju ali naslednjih, dokler njihova naloga ne bo izpolnjena in izčrpana. Že starejši sveti spisi so poznali nagrajevanje dobrin in kaznovanje zlih dejanj, vendar je bilo to preneseno v onstranstvo. Sčasoma pa se je razvila misel, da so tudi te kazni začasne, in ko minejo, mora človek ponovno na svet. Tako je prišlo do teorije o reinkarnaciji.</w:t>
      </w:r>
    </w:p>
    <w:p w:rsidR="00F769F3" w:rsidRPr="00BB6713" w:rsidRDefault="00F769F3" w:rsidP="00F769F3">
      <w:pPr>
        <w:pStyle w:val="Heading4"/>
        <w:jc w:val="both"/>
        <w:rPr>
          <w:b w:val="0"/>
          <w:i/>
          <w:color w:val="3366FF"/>
          <w:sz w:val="20"/>
          <w:szCs w:val="20"/>
        </w:rPr>
      </w:pPr>
      <w:r w:rsidRPr="00BB6713">
        <w:rPr>
          <w:b w:val="0"/>
          <w:i/>
          <w:color w:val="3366FF"/>
          <w:sz w:val="20"/>
          <w:szCs w:val="20"/>
        </w:rPr>
        <w:t>Dolžnost</w:t>
      </w:r>
    </w:p>
    <w:p w:rsidR="00F769F3" w:rsidRPr="00BB6713" w:rsidRDefault="00F769F3" w:rsidP="00F769F3">
      <w:pPr>
        <w:rPr>
          <w:sz w:val="20"/>
          <w:szCs w:val="20"/>
        </w:rPr>
      </w:pPr>
      <w:proofErr w:type="spellStart"/>
      <w:r w:rsidRPr="00BB6713">
        <w:rPr>
          <w:sz w:val="20"/>
          <w:szCs w:val="20"/>
        </w:rPr>
        <w:t>Ardžuna</w:t>
      </w:r>
      <w:proofErr w:type="spellEnd"/>
      <w:r w:rsidRPr="00BB6713">
        <w:rPr>
          <w:sz w:val="20"/>
          <w:szCs w:val="20"/>
        </w:rPr>
        <w:t xml:space="preserve"> je žalosten, ker ga žene dolžnost, da gre v boj, na drugi strani pa čuti spoštovanje do svojih sorodnikov, ki naj bi jih pobil. Prevzame ga usmiljenje in se izgovarja, da ne ve, kaj naj bi bila njegova dolžnost. Krišna mu odgovarja, da modrega človeka ne žalosti ničesar, ne kar živi in ne kar je mrtvo. Duh vedno živi, tako, da ne bo nič hudega storil, če bo sorodnike pobil, izpolnil pa bo dolžnost. Dolžnost je torej boriti se, drugače si lahko nakoplje greh. Zasidran naj bi bil v jogi, ki pomeni postopno očiščevanje čutov in telesnosti, da bi dosegel ravnodušnost. In zopet poudari, da moder človek ne dela ne dobrih, ne slabih dejanj. </w:t>
      </w:r>
    </w:p>
    <w:p w:rsidR="00F769F3" w:rsidRPr="00BB6713" w:rsidRDefault="00F769F3" w:rsidP="00F769F3">
      <w:pPr>
        <w:rPr>
          <w:sz w:val="20"/>
          <w:szCs w:val="20"/>
        </w:rPr>
      </w:pPr>
      <w:r w:rsidRPr="00BB6713">
        <w:rPr>
          <w:sz w:val="20"/>
          <w:szCs w:val="20"/>
        </w:rPr>
        <w:t>Dolžnost kot merilo etičnosti lepo predstavi v XVIII/47:</w:t>
      </w:r>
    </w:p>
    <w:p w:rsidR="00F769F3" w:rsidRPr="00BB6713" w:rsidRDefault="00F769F3" w:rsidP="00F769F3">
      <w:pPr>
        <w:rPr>
          <w:i/>
          <w:iCs/>
          <w:sz w:val="20"/>
          <w:szCs w:val="20"/>
        </w:rPr>
      </w:pPr>
      <w:r w:rsidRPr="00BB6713">
        <w:rPr>
          <w:i/>
          <w:iCs/>
          <w:sz w:val="20"/>
          <w:szCs w:val="20"/>
        </w:rPr>
        <w:t>Čeprav zaslužno delo ni, ki ga nalaga ti dolžnost, je bolje, če opraviš ga, kot če se tujega lotiš, čeprav pri tem uspeh imaš. Nič slabega ne zagreši, kdor svojo le stori dolžnost.</w:t>
      </w:r>
    </w:p>
    <w:p w:rsidR="00F769F3" w:rsidRPr="00BB6713" w:rsidRDefault="00F769F3" w:rsidP="00F769F3">
      <w:pPr>
        <w:pStyle w:val="Heading4"/>
        <w:jc w:val="both"/>
        <w:rPr>
          <w:b w:val="0"/>
          <w:color w:val="3366FF"/>
          <w:sz w:val="20"/>
          <w:szCs w:val="20"/>
        </w:rPr>
      </w:pPr>
      <w:r w:rsidRPr="00BB6713">
        <w:rPr>
          <w:b w:val="0"/>
          <w:color w:val="3366FF"/>
          <w:sz w:val="20"/>
          <w:szCs w:val="20"/>
        </w:rPr>
        <w:t>Sreča</w:t>
      </w:r>
    </w:p>
    <w:p w:rsidR="00F769F3" w:rsidRPr="00BB6713" w:rsidRDefault="00F769F3" w:rsidP="00F769F3">
      <w:pPr>
        <w:rPr>
          <w:sz w:val="20"/>
          <w:szCs w:val="20"/>
        </w:rPr>
      </w:pPr>
      <w:r w:rsidRPr="00BB6713">
        <w:rPr>
          <w:sz w:val="20"/>
          <w:szCs w:val="20"/>
        </w:rPr>
        <w:t>Največjo srečo se lahko doseže v jogi, ki je brez strasti, nemira, madežev in je združitev z Brahmanom. Pogoj za jogo pa je zmernost na vseh področjih, izpostavlja hrano, spanje ter delo oziroma počitek. Sreča je podobna blaženosti, tudi skladnost.</w:t>
      </w:r>
    </w:p>
    <w:p w:rsidR="00F769F3" w:rsidRPr="00BB6713" w:rsidRDefault="00F769F3" w:rsidP="00F769F3">
      <w:pPr>
        <w:pStyle w:val="Heading4"/>
        <w:jc w:val="both"/>
        <w:rPr>
          <w:b w:val="0"/>
          <w:color w:val="3366FF"/>
          <w:sz w:val="20"/>
          <w:szCs w:val="20"/>
        </w:rPr>
      </w:pPr>
      <w:r w:rsidRPr="00BB6713">
        <w:rPr>
          <w:b w:val="0"/>
          <w:color w:val="3366FF"/>
          <w:sz w:val="20"/>
          <w:szCs w:val="20"/>
        </w:rPr>
        <w:t>Molitev in čaščenje</w:t>
      </w:r>
    </w:p>
    <w:p w:rsidR="00F769F3" w:rsidRPr="00BB6713" w:rsidRDefault="00F769F3" w:rsidP="00F769F3">
      <w:pPr>
        <w:rPr>
          <w:sz w:val="20"/>
          <w:szCs w:val="20"/>
        </w:rPr>
      </w:pPr>
      <w:r w:rsidRPr="00BB6713">
        <w:rPr>
          <w:sz w:val="20"/>
          <w:szCs w:val="20"/>
        </w:rPr>
        <w:t>V pesnitvi sem nekako zaslutil, da bi lahko združil molitev in čaščenje. Odgovor dobimo v zadnjem spevu XI. poglavja:</w:t>
      </w:r>
    </w:p>
    <w:p w:rsidR="00F769F3" w:rsidRPr="00BB6713" w:rsidRDefault="00F769F3" w:rsidP="00F769F3">
      <w:pPr>
        <w:rPr>
          <w:i/>
          <w:iCs/>
          <w:sz w:val="20"/>
          <w:szCs w:val="20"/>
        </w:rPr>
      </w:pPr>
      <w:r w:rsidRPr="00BB6713">
        <w:rPr>
          <w:i/>
          <w:iCs/>
          <w:sz w:val="20"/>
          <w:szCs w:val="20"/>
        </w:rPr>
        <w:t>»Kdor zame dela, me časti, najvišji vidi v meni cilj, z vsem, kar živi, prijazen je, na nič navezan, k meni gre.«</w:t>
      </w:r>
    </w:p>
    <w:p w:rsidR="00F769F3" w:rsidRPr="00BB6713" w:rsidRDefault="00F769F3" w:rsidP="00F769F3">
      <w:pPr>
        <w:rPr>
          <w:sz w:val="20"/>
          <w:szCs w:val="20"/>
        </w:rPr>
      </w:pPr>
      <w:r w:rsidRPr="00BB6713">
        <w:rPr>
          <w:sz w:val="20"/>
          <w:szCs w:val="20"/>
        </w:rPr>
        <w:t>Tudi jogo lahko razumemo kot molitev: kdor je močno prevzet z vero in ga iskreno časti. Zanimivo pa je še naslednje: da izpostavi čaščenje Neskončnega; Nevidnega; Stalnega… Vsi ti, ki to častijo in obvladajo čute ter so mirni in uživajo v sreči drugih, enako pridejo k Njemu (Krišni). Častilci Nevidnega pa so izbrali težjo pot, ker le redko v življenju dosežejo Nevidno.</w:t>
      </w:r>
    </w:p>
    <w:p w:rsidR="00F769F3" w:rsidRPr="00BB6713" w:rsidRDefault="00F769F3" w:rsidP="00F769F3">
      <w:pPr>
        <w:pStyle w:val="Heading1"/>
        <w:rPr>
          <w:rFonts w:ascii="Times New Roman" w:hAnsi="Times New Roman" w:cs="Times New Roman"/>
          <w:b w:val="0"/>
          <w:color w:val="3366FF"/>
          <w:sz w:val="20"/>
          <w:szCs w:val="20"/>
        </w:rPr>
      </w:pPr>
      <w:r w:rsidRPr="00BB6713">
        <w:rPr>
          <w:rFonts w:ascii="Times New Roman" w:hAnsi="Times New Roman" w:cs="Times New Roman"/>
          <w:b w:val="0"/>
          <w:color w:val="3366FF"/>
          <w:sz w:val="20"/>
          <w:szCs w:val="20"/>
        </w:rPr>
        <w:t>Sklep</w:t>
      </w:r>
    </w:p>
    <w:p w:rsidR="00F769F3" w:rsidRPr="00BB6713" w:rsidRDefault="00F769F3" w:rsidP="00F769F3">
      <w:pPr>
        <w:rPr>
          <w:sz w:val="20"/>
          <w:szCs w:val="20"/>
        </w:rPr>
      </w:pPr>
      <w:r w:rsidRPr="00BB6713">
        <w:rPr>
          <w:sz w:val="20"/>
          <w:szCs w:val="20"/>
        </w:rPr>
        <w:t xml:space="preserve">Gre za drugačno dojemanje etičnega kot v našem zahodnem svetu. V </w:t>
      </w:r>
      <w:proofErr w:type="spellStart"/>
      <w:r w:rsidRPr="00BB6713">
        <w:rPr>
          <w:sz w:val="20"/>
          <w:szCs w:val="20"/>
        </w:rPr>
        <w:t>Bhagavadgiti</w:t>
      </w:r>
      <w:proofErr w:type="spellEnd"/>
      <w:r w:rsidRPr="00BB6713">
        <w:rPr>
          <w:sz w:val="20"/>
          <w:szCs w:val="20"/>
        </w:rPr>
        <w:t xml:space="preserve"> je poudarjena dolžnost, medtem ko se mi zdi, da je pri nas poudarjena oseba, posameznik. Tovrstno etičnost omogoča reinkarnacija. To kar me je pa presenetilo, pa je, da ne izključuje tudi drugih ljudi, ki častijo drugačne »bogove«, in jim tako daje možnost da dosežejo smrt in se rešijo življenja.</w:t>
      </w:r>
    </w:p>
    <w:p w:rsidR="00CB5B30" w:rsidRDefault="00CB5B30"/>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499"/>
    <w:rsid w:val="00270737"/>
    <w:rsid w:val="005E07E7"/>
    <w:rsid w:val="008F7499"/>
    <w:rsid w:val="00CB5B30"/>
    <w:rsid w:val="00F45532"/>
    <w:rsid w:val="00F769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9F3"/>
    <w:pPr>
      <w:spacing w:after="0" w:line="240" w:lineRule="auto"/>
    </w:pPr>
    <w:rPr>
      <w:rFonts w:ascii="Times New Roman" w:eastAsia="Times New Roman" w:hAnsi="Times New Roman" w:cs="Times New Roman"/>
      <w:sz w:val="24"/>
      <w:szCs w:val="24"/>
      <w:lang w:eastAsia="sl-SI"/>
    </w:rPr>
  </w:style>
  <w:style w:type="paragraph" w:styleId="Heading1">
    <w:name w:val="heading 1"/>
    <w:basedOn w:val="Normal"/>
    <w:next w:val="Normal"/>
    <w:link w:val="Heading1Char"/>
    <w:qFormat/>
    <w:rsid w:val="00F769F3"/>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F769F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69F3"/>
    <w:rPr>
      <w:rFonts w:ascii="Arial" w:eastAsia="Times New Roman" w:hAnsi="Arial" w:cs="Arial"/>
      <w:b/>
      <w:bCs/>
      <w:kern w:val="32"/>
      <w:sz w:val="32"/>
      <w:szCs w:val="32"/>
      <w:lang w:eastAsia="sl-SI"/>
    </w:rPr>
  </w:style>
  <w:style w:type="character" w:customStyle="1" w:styleId="Heading4Char">
    <w:name w:val="Heading 4 Char"/>
    <w:basedOn w:val="DefaultParagraphFont"/>
    <w:link w:val="Heading4"/>
    <w:rsid w:val="00F769F3"/>
    <w:rPr>
      <w:rFonts w:ascii="Times New Roman" w:eastAsia="Times New Roman" w:hAnsi="Times New Roman" w:cs="Times New Roman"/>
      <w:b/>
      <w:bCs/>
      <w:sz w:val="28"/>
      <w:szCs w:val="28"/>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9F3"/>
    <w:pPr>
      <w:spacing w:after="0" w:line="240" w:lineRule="auto"/>
    </w:pPr>
    <w:rPr>
      <w:rFonts w:ascii="Times New Roman" w:eastAsia="Times New Roman" w:hAnsi="Times New Roman" w:cs="Times New Roman"/>
      <w:sz w:val="24"/>
      <w:szCs w:val="24"/>
      <w:lang w:eastAsia="sl-SI"/>
    </w:rPr>
  </w:style>
  <w:style w:type="paragraph" w:styleId="Heading1">
    <w:name w:val="heading 1"/>
    <w:basedOn w:val="Normal"/>
    <w:next w:val="Normal"/>
    <w:link w:val="Heading1Char"/>
    <w:qFormat/>
    <w:rsid w:val="00F769F3"/>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F769F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69F3"/>
    <w:rPr>
      <w:rFonts w:ascii="Arial" w:eastAsia="Times New Roman" w:hAnsi="Arial" w:cs="Arial"/>
      <w:b/>
      <w:bCs/>
      <w:kern w:val="32"/>
      <w:sz w:val="32"/>
      <w:szCs w:val="32"/>
      <w:lang w:eastAsia="sl-SI"/>
    </w:rPr>
  </w:style>
  <w:style w:type="character" w:customStyle="1" w:styleId="Heading4Char">
    <w:name w:val="Heading 4 Char"/>
    <w:basedOn w:val="DefaultParagraphFont"/>
    <w:link w:val="Heading4"/>
    <w:rsid w:val="00F769F3"/>
    <w:rPr>
      <w:rFonts w:ascii="Times New Roman" w:eastAsia="Times New Roman" w:hAnsi="Times New Roman" w:cs="Times New Roman"/>
      <w:b/>
      <w:bCs/>
      <w:sz w:val="28"/>
      <w:szCs w:val="2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2014-03-12T08:09:00Z</dcterms:created>
  <dcterms:modified xsi:type="dcterms:W3CDTF">2014-03-12T08:09:00Z</dcterms:modified>
</cp:coreProperties>
</file>