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86" w:rsidRDefault="00870786" w:rsidP="00870786">
      <w:pPr>
        <w:jc w:val="center"/>
        <w:rPr>
          <w:lang w:val="sl-SI"/>
        </w:rPr>
      </w:pPr>
      <w:r>
        <w:rPr>
          <w:lang w:val="sl-SI"/>
        </w:rPr>
        <w:t>Veterinarska fakulteta v Ljubljani</w:t>
      </w: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</w:p>
    <w:p w:rsidR="00870786" w:rsidRDefault="008E53EC" w:rsidP="008E53EC">
      <w:pPr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8</w:t>
      </w:r>
      <w:r w:rsidR="00870786">
        <w:rPr>
          <w:sz w:val="32"/>
          <w:szCs w:val="32"/>
          <w:lang w:val="sl-SI"/>
        </w:rPr>
        <w:t>. vaja</w:t>
      </w:r>
    </w:p>
    <w:p w:rsidR="00870786" w:rsidRDefault="00870786" w:rsidP="00870786">
      <w:pPr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Encimsko katalizirane reakcije</w:t>
      </w: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sz w:val="32"/>
          <w:szCs w:val="32"/>
          <w:lang w:val="sl-SI"/>
        </w:rPr>
      </w:pPr>
    </w:p>
    <w:p w:rsidR="00870786" w:rsidRDefault="00870786" w:rsidP="00870786">
      <w:pPr>
        <w:rPr>
          <w:lang w:val="sl-SI"/>
        </w:rPr>
      </w:pPr>
    </w:p>
    <w:p w:rsidR="00F1728C" w:rsidRDefault="00F1728C" w:rsidP="00870786">
      <w:pPr>
        <w:rPr>
          <w:sz w:val="32"/>
          <w:szCs w:val="32"/>
          <w:lang w:val="sl-SI"/>
        </w:rPr>
      </w:pPr>
      <w:bookmarkStart w:id="0" w:name="_GoBack"/>
      <w:bookmarkEnd w:id="0"/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rPr>
          <w:sz w:val="32"/>
          <w:szCs w:val="32"/>
          <w:lang w:val="sl-SI"/>
        </w:rPr>
      </w:pPr>
    </w:p>
    <w:p w:rsidR="00870786" w:rsidRDefault="00870786" w:rsidP="00870786">
      <w:pPr>
        <w:jc w:val="center"/>
        <w:rPr>
          <w:lang w:val="sl-SI"/>
        </w:rPr>
      </w:pPr>
      <w:r>
        <w:rPr>
          <w:lang w:val="sl-SI"/>
        </w:rPr>
        <w:t xml:space="preserve">Ljubljana, 7.3. 2005 </w:t>
      </w:r>
    </w:p>
    <w:p w:rsidR="00870786" w:rsidRDefault="00870786" w:rsidP="00870786">
      <w:pPr>
        <w:jc w:val="center"/>
        <w:rPr>
          <w:lang w:val="sl-SI"/>
        </w:rPr>
      </w:pPr>
    </w:p>
    <w:p w:rsidR="00870786" w:rsidRDefault="008E53EC" w:rsidP="008E53EC">
      <w:pPr>
        <w:rPr>
          <w:sz w:val="28"/>
          <w:szCs w:val="28"/>
          <w:lang w:val="sl-SI"/>
        </w:rPr>
      </w:pPr>
      <w:r w:rsidRPr="00390B36">
        <w:rPr>
          <w:sz w:val="28"/>
          <w:szCs w:val="28"/>
          <w:lang w:val="sl-SI"/>
        </w:rPr>
        <w:lastRenderedPageBreak/>
        <w:t>UVOD</w:t>
      </w:r>
      <w:r>
        <w:rPr>
          <w:sz w:val="28"/>
          <w:szCs w:val="28"/>
          <w:lang w:val="sl-SI"/>
        </w:rPr>
        <w:t>:</w:t>
      </w:r>
    </w:p>
    <w:p w:rsidR="004831C9" w:rsidRDefault="004831C9" w:rsidP="008E53EC">
      <w:pPr>
        <w:rPr>
          <w:lang w:val="sl-SI"/>
        </w:rPr>
      </w:pPr>
      <w:r>
        <w:rPr>
          <w:lang w:val="sl-SI"/>
        </w:rPr>
        <w:t>Encimi so biološki katalizatorji, ki zmanjšujejo aktivacijsko energijo in s tem pospešijo reakcijo. Encimske reakcije so lahko do milijon krat  in več hitrejše kot ne katalizirane.</w:t>
      </w:r>
    </w:p>
    <w:p w:rsidR="004831C9" w:rsidRDefault="004831C9" w:rsidP="008E53EC">
      <w:pPr>
        <w:rPr>
          <w:lang w:val="sl-SI"/>
        </w:rPr>
      </w:pPr>
      <w:r>
        <w:rPr>
          <w:lang w:val="sl-SI"/>
        </w:rPr>
        <w:t>Encimi so torej beljakovine ki katalizirajo kemijske reakcije v živih organizmih.</w:t>
      </w:r>
    </w:p>
    <w:p w:rsidR="00E9797E" w:rsidRDefault="00E9797E" w:rsidP="008E53EC">
      <w:pPr>
        <w:rPr>
          <w:lang w:val="sl-SI"/>
        </w:rPr>
      </w:pPr>
      <w:r>
        <w:rPr>
          <w:lang w:val="sl-SI"/>
        </w:rPr>
        <w:t>Encimi so: praviloma boljši katalizatorji kot anorganskih, delujejo pri milih reakcijskih pogojih, so specifični in so regulirani.</w:t>
      </w:r>
    </w:p>
    <w:p w:rsidR="00E9797E" w:rsidRDefault="00E9797E" w:rsidP="008E53EC">
      <w:pPr>
        <w:rPr>
          <w:lang w:val="sl-SI"/>
        </w:rPr>
      </w:pPr>
      <w:r>
        <w:rPr>
          <w:lang w:val="sl-SI"/>
        </w:rPr>
        <w:t xml:space="preserve">Encimsko katalizirano reakcijo lahko napišemo tudi kot: E + S = ES – P + E </w:t>
      </w:r>
      <w:r w:rsidR="009659E8">
        <w:rPr>
          <w:lang w:val="sl-SI"/>
        </w:rPr>
        <w:t>(</w:t>
      </w:r>
      <w:proofErr w:type="spellStart"/>
      <w:r w:rsidR="009659E8">
        <w:rPr>
          <w:lang w:val="sl-SI"/>
        </w:rPr>
        <w:t>Michaelis</w:t>
      </w:r>
      <w:proofErr w:type="spellEnd"/>
      <w:r w:rsidR="009659E8">
        <w:rPr>
          <w:lang w:val="sl-SI"/>
        </w:rPr>
        <w:t xml:space="preserve"> – </w:t>
      </w:r>
      <w:proofErr w:type="spellStart"/>
      <w:r w:rsidR="009659E8">
        <w:rPr>
          <w:lang w:val="sl-SI"/>
        </w:rPr>
        <w:t>mentelova</w:t>
      </w:r>
      <w:proofErr w:type="spellEnd"/>
      <w:r w:rsidR="009659E8">
        <w:rPr>
          <w:lang w:val="sl-SI"/>
        </w:rPr>
        <w:t xml:space="preserve"> reakcija)</w:t>
      </w:r>
      <w:r>
        <w:rPr>
          <w:lang w:val="sl-SI"/>
        </w:rPr>
        <w:t>.</w:t>
      </w:r>
    </w:p>
    <w:p w:rsidR="00E9797E" w:rsidRDefault="00E9797E" w:rsidP="008E53EC">
      <w:pPr>
        <w:rPr>
          <w:lang w:val="sl-SI"/>
        </w:rPr>
      </w:pPr>
      <w:r>
        <w:rPr>
          <w:lang w:val="sl-SI"/>
        </w:rPr>
        <w:t xml:space="preserve">Razvrščamo jih v 6 glavnih razredov: </w:t>
      </w:r>
      <w:proofErr w:type="spellStart"/>
      <w:r>
        <w:rPr>
          <w:lang w:val="sl-SI"/>
        </w:rPr>
        <w:t>oksidoreduktaze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transferaze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hidrolaze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liaze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izomeraze</w:t>
      </w:r>
      <w:proofErr w:type="spellEnd"/>
      <w:r>
        <w:rPr>
          <w:lang w:val="sl-SI"/>
        </w:rPr>
        <w:t xml:space="preserve"> in </w:t>
      </w:r>
      <w:proofErr w:type="spellStart"/>
      <w:r>
        <w:rPr>
          <w:lang w:val="sl-SI"/>
        </w:rPr>
        <w:t>ligaze</w:t>
      </w:r>
      <w:proofErr w:type="spellEnd"/>
      <w:r>
        <w:rPr>
          <w:lang w:val="sl-SI"/>
        </w:rPr>
        <w:t xml:space="preserve">. </w:t>
      </w:r>
    </w:p>
    <w:p w:rsidR="008E53EC" w:rsidRPr="008E53EC" w:rsidRDefault="00E9797E" w:rsidP="008E53EC">
      <w:pPr>
        <w:rPr>
          <w:lang w:val="sl-SI"/>
        </w:rPr>
      </w:pPr>
      <w:r>
        <w:rPr>
          <w:lang w:val="sl-SI"/>
        </w:rPr>
        <w:t xml:space="preserve"> Aktivnost bioloških katalizatorjev pa je odvisna od: - koncentracije substrata </w:t>
      </w:r>
      <w:r w:rsidR="004831C9">
        <w:rPr>
          <w:lang w:val="sl-SI"/>
        </w:rPr>
        <w:t xml:space="preserve"> </w:t>
      </w:r>
    </w:p>
    <w:p w:rsidR="00E9797E" w:rsidRDefault="00E9797E" w:rsidP="00E9797E">
      <w:pPr>
        <w:ind w:left="5100"/>
        <w:rPr>
          <w:lang w:val="sl-SI"/>
        </w:rPr>
      </w:pPr>
      <w:r>
        <w:rPr>
          <w:lang w:val="sl-SI"/>
        </w:rPr>
        <w:t xml:space="preserve">- kofaktorjev </w:t>
      </w:r>
    </w:p>
    <w:p w:rsidR="008E53EC" w:rsidRDefault="00E9797E" w:rsidP="00E9797E">
      <w:pPr>
        <w:ind w:left="5100"/>
        <w:rPr>
          <w:lang w:val="sl-SI"/>
        </w:rPr>
      </w:pPr>
      <w:r>
        <w:rPr>
          <w:lang w:val="sl-SI"/>
        </w:rPr>
        <w:t>- pH</w:t>
      </w:r>
    </w:p>
    <w:p w:rsidR="00E9797E" w:rsidRDefault="00E9797E" w:rsidP="00E9797E">
      <w:pPr>
        <w:ind w:left="5100"/>
        <w:rPr>
          <w:lang w:val="sl-SI"/>
        </w:rPr>
      </w:pPr>
      <w:r>
        <w:rPr>
          <w:lang w:val="sl-SI"/>
        </w:rPr>
        <w:t>- temperature</w:t>
      </w:r>
    </w:p>
    <w:p w:rsidR="00E9797E" w:rsidRDefault="00E9797E" w:rsidP="00E9797E">
      <w:pPr>
        <w:ind w:left="5100"/>
        <w:rPr>
          <w:lang w:val="sl-SI"/>
        </w:rPr>
      </w:pPr>
      <w:r>
        <w:rPr>
          <w:lang w:val="sl-SI"/>
        </w:rPr>
        <w:t>- ionske jakosti.</w:t>
      </w:r>
    </w:p>
    <w:p w:rsidR="00E9797E" w:rsidRDefault="00E9797E" w:rsidP="00E9797E">
      <w:pPr>
        <w:rPr>
          <w:lang w:val="sl-SI"/>
        </w:rPr>
      </w:pPr>
    </w:p>
    <w:p w:rsidR="009659E8" w:rsidRDefault="009659E8" w:rsidP="00E9797E">
      <w:pPr>
        <w:rPr>
          <w:lang w:val="sl-SI"/>
        </w:rPr>
      </w:pPr>
      <w:r>
        <w:rPr>
          <w:lang w:val="sl-SI"/>
        </w:rPr>
        <w:t xml:space="preserve">Encim ima tudi mero encimske aktivnosti to je njegova sposobnost preoblikovanja molekule substrata. Za to uporabljamo predvsem tri enote: IU(količina encima ki pretvori 1 mikromol substrata v minuti), </w:t>
      </w:r>
      <w:proofErr w:type="spellStart"/>
      <w:r>
        <w:rPr>
          <w:lang w:val="sl-SI"/>
        </w:rPr>
        <w:t>katal</w:t>
      </w:r>
      <w:proofErr w:type="spellEnd"/>
      <w:r>
        <w:rPr>
          <w:lang w:val="sl-SI"/>
        </w:rPr>
        <w:t xml:space="preserve">( 1mo substrata v produkt v 1 sekundi) in specifična aktivnost (št. Encimskih enot na miligram proteina). </w:t>
      </w:r>
    </w:p>
    <w:p w:rsidR="00390B36" w:rsidRDefault="00390B36" w:rsidP="00E9797E">
      <w:pPr>
        <w:rPr>
          <w:lang w:val="sl-SI"/>
        </w:rPr>
      </w:pPr>
    </w:p>
    <w:p w:rsidR="00390B36" w:rsidRDefault="00390B36" w:rsidP="00E9797E">
      <w:pPr>
        <w:rPr>
          <w:lang w:val="sl-SI"/>
        </w:rPr>
      </w:pPr>
    </w:p>
    <w:p w:rsidR="00390B36" w:rsidRDefault="00390B36" w:rsidP="00E9797E">
      <w:pPr>
        <w:rPr>
          <w:lang w:val="sl-SI"/>
        </w:rPr>
      </w:pPr>
    </w:p>
    <w:p w:rsidR="00E9797E" w:rsidRDefault="00390B36" w:rsidP="00E9797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REZULTATI:</w:t>
      </w:r>
    </w:p>
    <w:p w:rsidR="003538C5" w:rsidRDefault="003538C5" w:rsidP="00E9797E">
      <w:pPr>
        <w:rPr>
          <w:sz w:val="28"/>
          <w:szCs w:val="28"/>
          <w:lang w:val="sl-SI"/>
        </w:rPr>
      </w:pPr>
    </w:p>
    <w:p w:rsidR="003538C5" w:rsidRDefault="00FB21DD" w:rsidP="00E9797E">
      <w:pPr>
        <w:rPr>
          <w:lang w:val="sl-SI"/>
        </w:rPr>
      </w:pPr>
      <w:r>
        <w:rPr>
          <w:lang w:val="sl-SI"/>
        </w:rPr>
        <w:t>Hitrost odvisna od koncentracije substrata: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Koncentracija substrata (M)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Absorpcija  (A 410)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proofErr w:type="spellStart"/>
            <w:r w:rsidRPr="00F1728C">
              <w:rPr>
                <w:lang w:val="sl-SI"/>
              </w:rPr>
              <w:t>Proba</w:t>
            </w:r>
            <w:proofErr w:type="spellEnd"/>
            <w:r w:rsidRPr="00F1728C">
              <w:rPr>
                <w:lang w:val="sl-SI"/>
              </w:rPr>
              <w:t xml:space="preserve"> (samo pufer)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0.00200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2.415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0.00100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1.424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0.00070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1.280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0.00049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0.877</w:t>
            </w:r>
          </w:p>
        </w:tc>
      </w:tr>
      <w:tr w:rsidR="00FB21DD" w:rsidRPr="00F1728C" w:rsidTr="00F1728C"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0.00024</w:t>
            </w:r>
          </w:p>
        </w:tc>
        <w:tc>
          <w:tcPr>
            <w:tcW w:w="4428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0.422</w:t>
            </w:r>
          </w:p>
        </w:tc>
      </w:tr>
    </w:tbl>
    <w:p w:rsidR="00FB21DD" w:rsidRDefault="00FB21DD" w:rsidP="00E9797E">
      <w:pPr>
        <w:rPr>
          <w:lang w:val="sl-SI"/>
        </w:rPr>
      </w:pPr>
    </w:p>
    <w:p w:rsidR="00FB21DD" w:rsidRDefault="00FB21DD" w:rsidP="00E9797E">
      <w:pPr>
        <w:rPr>
          <w:lang w:val="sl-SI"/>
        </w:rPr>
      </w:pPr>
      <w:r>
        <w:rPr>
          <w:lang w:val="sl-SI"/>
        </w:rPr>
        <w:t>Merjenje časovne odvisnosti razgradnje</w:t>
      </w:r>
      <w:r w:rsidR="00FB2B36">
        <w:rPr>
          <w:lang w:val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 xml:space="preserve">Koncentracija </w:t>
            </w:r>
            <w:proofErr w:type="spellStart"/>
            <w:r w:rsidRPr="00F1728C">
              <w:rPr>
                <w:lang w:val="sl-SI"/>
              </w:rPr>
              <w:t>sub</w:t>
            </w:r>
            <w:proofErr w:type="spellEnd"/>
            <w:r w:rsidRPr="00F1728C">
              <w:rPr>
                <w:lang w:val="sl-SI"/>
              </w:rPr>
              <w:t>. (M)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 xml:space="preserve">Čas </w:t>
            </w:r>
            <w:proofErr w:type="spellStart"/>
            <w:r w:rsidRPr="00F1728C">
              <w:rPr>
                <w:lang w:val="sl-SI"/>
              </w:rPr>
              <w:t>inkubiranja</w:t>
            </w:r>
            <w:proofErr w:type="spellEnd"/>
            <w:r w:rsidRPr="00F1728C">
              <w:rPr>
                <w:lang w:val="sl-SI"/>
              </w:rPr>
              <w:t xml:space="preserve"> (min)  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Absorpcija ( A 410)</w:t>
            </w:r>
          </w:p>
        </w:tc>
      </w:tr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proofErr w:type="spellStart"/>
            <w:r w:rsidRPr="00F1728C">
              <w:rPr>
                <w:lang w:val="sl-SI"/>
              </w:rPr>
              <w:t>Proba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</w:t>
            </w:r>
          </w:p>
        </w:tc>
      </w:tr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0.00100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0.550</w:t>
            </w:r>
          </w:p>
        </w:tc>
      </w:tr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0.00100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0.739</w:t>
            </w:r>
          </w:p>
        </w:tc>
      </w:tr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0.00100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15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1.618</w:t>
            </w:r>
          </w:p>
        </w:tc>
      </w:tr>
      <w:tr w:rsidR="00FB21DD" w:rsidRPr="00F1728C" w:rsidTr="00F1728C">
        <w:tc>
          <w:tcPr>
            <w:tcW w:w="2952" w:type="dxa"/>
            <w:shd w:val="clear" w:color="auto" w:fill="auto"/>
          </w:tcPr>
          <w:p w:rsidR="00FB21DD" w:rsidRPr="00F1728C" w:rsidRDefault="00FB21D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0.00100</w:t>
            </w:r>
          </w:p>
        </w:tc>
        <w:tc>
          <w:tcPr>
            <w:tcW w:w="2952" w:type="dxa"/>
            <w:shd w:val="clear" w:color="auto" w:fill="auto"/>
          </w:tcPr>
          <w:p w:rsidR="00FB21DD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0426CD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</w:t>
            </w:r>
            <w:r w:rsidR="00FB2B36" w:rsidRPr="00F1728C">
              <w:rPr>
                <w:lang w:val="sl-SI"/>
              </w:rPr>
              <w:t>.737</w:t>
            </w:r>
          </w:p>
        </w:tc>
      </w:tr>
    </w:tbl>
    <w:p w:rsidR="00FB21DD" w:rsidRDefault="00FB21DD" w:rsidP="00E9797E">
      <w:pPr>
        <w:rPr>
          <w:lang w:val="sl-SI"/>
        </w:rPr>
      </w:pPr>
    </w:p>
    <w:p w:rsidR="00FB2B36" w:rsidRDefault="00FB2B36" w:rsidP="00E9797E">
      <w:pPr>
        <w:rPr>
          <w:lang w:val="sl-SI"/>
        </w:rPr>
      </w:pPr>
    </w:p>
    <w:p w:rsidR="00FB2B36" w:rsidRDefault="00FB2B36" w:rsidP="00E9797E">
      <w:pPr>
        <w:rPr>
          <w:lang w:val="sl-SI"/>
        </w:rPr>
      </w:pPr>
    </w:p>
    <w:p w:rsidR="00FB2B36" w:rsidRDefault="00FB2B36" w:rsidP="00E9797E">
      <w:pPr>
        <w:rPr>
          <w:lang w:val="sl-SI"/>
        </w:rPr>
      </w:pPr>
    </w:p>
    <w:p w:rsidR="00FB2B36" w:rsidRDefault="00FB2B36" w:rsidP="00E9797E">
      <w:pPr>
        <w:rPr>
          <w:lang w:val="sl-SI"/>
        </w:rPr>
      </w:pPr>
      <w:r>
        <w:rPr>
          <w:lang w:val="sl-SI"/>
        </w:rPr>
        <w:lastRenderedPageBreak/>
        <w:t xml:space="preserve">pH </w:t>
      </w:r>
      <w:proofErr w:type="spellStart"/>
      <w:r>
        <w:rPr>
          <w:lang w:val="sl-SI"/>
        </w:rPr>
        <w:t>optimum</w:t>
      </w:r>
      <w:proofErr w:type="spellEnd"/>
      <w:r>
        <w:rPr>
          <w:lang w:val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 xml:space="preserve">Koncentracija  </w:t>
            </w:r>
            <w:proofErr w:type="spellStart"/>
            <w:r w:rsidRPr="00F1728C">
              <w:rPr>
                <w:lang w:val="sl-SI"/>
              </w:rPr>
              <w:t>sub</w:t>
            </w:r>
            <w:proofErr w:type="spellEnd"/>
            <w:r w:rsidRPr="00F1728C">
              <w:rPr>
                <w:lang w:val="sl-SI"/>
              </w:rPr>
              <w:t>. (M)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pH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Absorpcija (A 410)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proofErr w:type="spellStart"/>
            <w:r w:rsidRPr="00F1728C">
              <w:rPr>
                <w:lang w:val="sl-SI"/>
              </w:rPr>
              <w:t>Proba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0.002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0.002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0.021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0.77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0.874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0.948</w:t>
            </w:r>
          </w:p>
        </w:tc>
      </w:tr>
      <w:tr w:rsidR="00FB2B36" w:rsidRPr="00F1728C" w:rsidTr="00F1728C"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0.001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FB2B36" w:rsidRPr="00F1728C" w:rsidRDefault="00FB2B36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0.881</w:t>
            </w:r>
          </w:p>
        </w:tc>
      </w:tr>
    </w:tbl>
    <w:p w:rsidR="00FB2B36" w:rsidRDefault="00FB2B36" w:rsidP="00E9797E">
      <w:pPr>
        <w:rPr>
          <w:lang w:val="sl-SI"/>
        </w:rPr>
      </w:pPr>
    </w:p>
    <w:p w:rsidR="00FB2B36" w:rsidRDefault="00FB2B36" w:rsidP="00E9797E">
      <w:pPr>
        <w:rPr>
          <w:lang w:val="sl-SI"/>
        </w:rPr>
      </w:pPr>
    </w:p>
    <w:p w:rsidR="00FB2B36" w:rsidRDefault="00CA4E63" w:rsidP="00E9797E">
      <w:pPr>
        <w:rPr>
          <w:lang w:val="sl-SI"/>
        </w:rPr>
      </w:pPr>
      <w:r>
        <w:rPr>
          <w:lang w:val="sl-SI"/>
        </w:rPr>
        <w:t>Odvisnost delovanja encima od temperature: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Čas inkubacije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T (˚C)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Absorpcija (A 410)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0.446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0.691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37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1.660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60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1.104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0.799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20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1.430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37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2.100</w:t>
            </w:r>
          </w:p>
        </w:tc>
      </w:tr>
      <w:tr w:rsidR="00CA4E63" w:rsidRPr="00F1728C" w:rsidTr="00F1728C"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30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CA4E63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60</w:t>
            </w:r>
          </w:p>
        </w:tc>
        <w:tc>
          <w:tcPr>
            <w:tcW w:w="2952" w:type="dxa"/>
            <w:shd w:val="clear" w:color="auto" w:fill="auto"/>
          </w:tcPr>
          <w:p w:rsidR="00CA4E63" w:rsidRPr="00F1728C" w:rsidRDefault="005505BF" w:rsidP="00E9797E">
            <w:pPr>
              <w:rPr>
                <w:lang w:val="sl-SI"/>
              </w:rPr>
            </w:pPr>
            <w:r w:rsidRPr="00F1728C">
              <w:rPr>
                <w:lang w:val="sl-SI"/>
              </w:rPr>
              <w:t>1.673</w:t>
            </w:r>
          </w:p>
        </w:tc>
      </w:tr>
    </w:tbl>
    <w:p w:rsidR="00CA4E63" w:rsidRDefault="00CA4E63" w:rsidP="00E9797E">
      <w:pPr>
        <w:rPr>
          <w:lang w:val="sl-SI"/>
        </w:rPr>
      </w:pPr>
    </w:p>
    <w:p w:rsidR="00CA4E63" w:rsidRDefault="00CA4E63" w:rsidP="00E9797E">
      <w:pPr>
        <w:rPr>
          <w:lang w:val="sl-SI"/>
        </w:rPr>
      </w:pPr>
    </w:p>
    <w:p w:rsidR="000426CD" w:rsidRDefault="000426CD" w:rsidP="00E9797E">
      <w:pPr>
        <w:rPr>
          <w:lang w:val="sl-SI"/>
        </w:rPr>
      </w:pPr>
    </w:p>
    <w:p w:rsidR="000426CD" w:rsidRDefault="000426CD" w:rsidP="00E9797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RAZPRAVA:</w:t>
      </w:r>
    </w:p>
    <w:p w:rsidR="000426CD" w:rsidRDefault="000426CD" w:rsidP="00E9797E">
      <w:pPr>
        <w:rPr>
          <w:lang w:val="sl-SI"/>
        </w:rPr>
      </w:pPr>
      <w:r>
        <w:rPr>
          <w:lang w:val="sl-SI"/>
        </w:rPr>
        <w:t>Vrhovi grafov in rezultati v tabelah nam nazorno kažejo kje encimi optimalno delujejo in kako vpliva na nastane produktov čas, koncentracija substrata, pH in temperatura.</w:t>
      </w:r>
    </w:p>
    <w:p w:rsidR="000426CD" w:rsidRDefault="000426CD" w:rsidP="00E9797E">
      <w:pPr>
        <w:rPr>
          <w:lang w:val="sl-SI"/>
        </w:rPr>
      </w:pPr>
      <w:r>
        <w:rPr>
          <w:lang w:val="sl-SI"/>
        </w:rPr>
        <w:t>Encim najbolje deluje pri najvišji koncentracija substrata (0.00200 M). Dalj časa  ko je protein aktiven, več produktov nastane ( po 30 min).  Naš encim je glede na odvisnost od pH najbolje deloval ko je bil pH 9. Temperatura do neke meje pospešuje delovanje encima, dokler se le ta ne denaturira</w:t>
      </w:r>
      <w:r w:rsidR="001C7C21">
        <w:rPr>
          <w:lang w:val="sl-SI"/>
        </w:rPr>
        <w:t xml:space="preserve">, tako encim slabše katalizira. Temperaturni </w:t>
      </w:r>
      <w:proofErr w:type="spellStart"/>
      <w:r w:rsidR="001C7C21">
        <w:rPr>
          <w:lang w:val="sl-SI"/>
        </w:rPr>
        <w:t>optimum</w:t>
      </w:r>
      <w:proofErr w:type="spellEnd"/>
      <w:r w:rsidR="001C7C21">
        <w:rPr>
          <w:lang w:val="sl-SI"/>
        </w:rPr>
        <w:t xml:space="preserve"> je pri 37</w:t>
      </w:r>
      <w:r>
        <w:rPr>
          <w:lang w:val="sl-SI"/>
        </w:rPr>
        <w:t xml:space="preserve"> </w:t>
      </w:r>
      <w:r w:rsidR="00115C40">
        <w:rPr>
          <w:lang w:val="sl-SI"/>
        </w:rPr>
        <w:t xml:space="preserve"> stopinjah. </w:t>
      </w:r>
      <w:r>
        <w:rPr>
          <w:lang w:val="sl-SI"/>
        </w:rPr>
        <w:t xml:space="preserve"> </w:t>
      </w:r>
    </w:p>
    <w:p w:rsidR="000426CD" w:rsidRPr="000426CD" w:rsidRDefault="000426CD" w:rsidP="00E9797E">
      <w:pPr>
        <w:rPr>
          <w:lang w:val="sl-SI"/>
        </w:rPr>
      </w:pPr>
    </w:p>
    <w:sectPr w:rsidR="000426CD" w:rsidRPr="00042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407"/>
    <w:multiLevelType w:val="hybridMultilevel"/>
    <w:tmpl w:val="CC8EDC9C"/>
    <w:lvl w:ilvl="0" w:tplc="797E68A4"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786"/>
    <w:rsid w:val="000426CD"/>
    <w:rsid w:val="00115C40"/>
    <w:rsid w:val="001C7C21"/>
    <w:rsid w:val="003538C5"/>
    <w:rsid w:val="00390B36"/>
    <w:rsid w:val="004831C9"/>
    <w:rsid w:val="005505BF"/>
    <w:rsid w:val="00870786"/>
    <w:rsid w:val="008E53EC"/>
    <w:rsid w:val="009659E8"/>
    <w:rsid w:val="00CA4E63"/>
    <w:rsid w:val="00E9797E"/>
    <w:rsid w:val="00F1728C"/>
    <w:rsid w:val="00FB21DD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Veterinarska fakulteta v Ljubljani</vt:lpstr>
    </vt:vector>
  </TitlesOfParts>
  <Company>Jurški s.p.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Veterinarska fakulteta v Ljubljani</dc:title>
  <dc:creator>Jure</dc:creator>
  <cp:lastModifiedBy>Jaka</cp:lastModifiedBy>
  <cp:revision>2</cp:revision>
  <dcterms:created xsi:type="dcterms:W3CDTF">2014-01-12T10:59:00Z</dcterms:created>
  <dcterms:modified xsi:type="dcterms:W3CDTF">2014-01-12T10:59:00Z</dcterms:modified>
</cp:coreProperties>
</file>