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424A" w14:textId="1AF333E2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AVA</w:t>
      </w:r>
      <w:r w:rsidR="00191B61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-</w:t>
      </w:r>
      <w:bookmarkStart w:id="0" w:name="_GoBack"/>
      <w:bookmarkEnd w:id="0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Akade</w:t>
      </w:r>
      <w:r w:rsidR="00191B61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m</w:t>
      </w: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ija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za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vizualne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umetnosti</w:t>
      </w:r>
      <w:proofErr w:type="spellEnd"/>
    </w:p>
    <w:p w14:paraId="3A37D9CA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AVA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izvaja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napredne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študijske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programe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sodobnih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kreativnih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Naše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poslanstvo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vzpodbujanje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razvoja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vrhunske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samozavestne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suverene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ustvarjalce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hodijo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korak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evropskimi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svetovnimi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trendi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0BAAEA1C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vzpodbujanjem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individualnih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ustvarjalne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odličnosti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AVA,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11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generacij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uveljavila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močna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uspešna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inštitucija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prepoznavna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svojem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prispevku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skupnostim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služi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AVI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temelji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eksperimentiranju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raziskovanju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reševanju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problemov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interdisciplinarnem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sodelovanju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napaja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gobalne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informiranosti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ozaveščenosti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Študijski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proces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AVI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strateško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združuje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praktične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ustvarjalne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postopke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zgodovino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teorijo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zagotovi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trdne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temelje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tako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kreativne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kariere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sferah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videa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kakor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nadaljevanje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podiplomski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ravni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6E3F1D7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AVA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svojim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programom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deluje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skladu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Zakonom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visokem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šolstvu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Republike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Slovenije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programi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akreditirani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(NAKVIS)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javno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veljavni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1C18B63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Vizualne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umetnosti</w:t>
      </w:r>
      <w:proofErr w:type="spellEnd"/>
    </w:p>
    <w:p w14:paraId="590D3D57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slikarstvo</w:t>
      </w:r>
      <w:proofErr w:type="spellEnd"/>
    </w:p>
    <w:p w14:paraId="6BF70D6B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skulptura</w:t>
      </w:r>
      <w:proofErr w:type="spellEnd"/>
    </w:p>
    <w:p w14:paraId="7FCAA167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</w:t>
      </w:r>
      <w:proofErr w:type="spellEnd"/>
    </w:p>
    <w:p w14:paraId="1B9EDD0A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instalacija</w:t>
      </w:r>
      <w:proofErr w:type="spellEnd"/>
    </w:p>
    <w:p w14:paraId="38927C69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–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fotomedia</w:t>
      </w:r>
      <w:proofErr w:type="spellEnd"/>
    </w:p>
    <w:p w14:paraId="66BB8F53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3d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oblikovanje</w:t>
      </w:r>
      <w:proofErr w:type="spellEnd"/>
    </w:p>
    <w:p w14:paraId="4476526C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upodabljanje</w:t>
      </w:r>
      <w:proofErr w:type="spellEnd"/>
    </w:p>
    <w:p w14:paraId="0A44C8F6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animacija-animatronika</w:t>
      </w:r>
      <w:proofErr w:type="spellEnd"/>
    </w:p>
    <w:p w14:paraId="0BDE4309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film/video</w:t>
      </w:r>
    </w:p>
    <w:p w14:paraId="68BE768D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flmska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TV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scenografija</w:t>
      </w:r>
      <w:proofErr w:type="spellEnd"/>
    </w:p>
    <w:p w14:paraId="6DD6E798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kostumografija</w:t>
      </w:r>
      <w:proofErr w:type="spellEnd"/>
    </w:p>
    <w:p w14:paraId="687FB365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izdelava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lutk</w:t>
      </w:r>
      <w:proofErr w:type="spellEnd"/>
    </w:p>
    <w:p w14:paraId="0612093B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novi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mediji</w:t>
      </w:r>
      <w:proofErr w:type="spellEnd"/>
    </w:p>
    <w:p w14:paraId="7CF8C03F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režija</w:t>
      </w:r>
      <w:proofErr w:type="spellEnd"/>
    </w:p>
    <w:p w14:paraId="6DF42A58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4B095CBE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Študijski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programi</w:t>
      </w:r>
      <w:proofErr w:type="spellEnd"/>
    </w:p>
    <w:p w14:paraId="4137B8B8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Wingdings" w:eastAsia="Times New Roman" w:hAnsi="Wingdings" w:cs="Times New Roman"/>
          <w:color w:val="222222"/>
          <w:sz w:val="20"/>
          <w:szCs w:val="20"/>
        </w:rPr>
        <w:t>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Likovna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umetnost</w:t>
      </w:r>
      <w:proofErr w:type="spellEnd"/>
    </w:p>
    <w:p w14:paraId="11B64091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Wingdings" w:eastAsia="Times New Roman" w:hAnsi="Wingdings" w:cs="Times New Roman"/>
          <w:color w:val="222222"/>
          <w:sz w:val="20"/>
          <w:szCs w:val="20"/>
        </w:rPr>
        <w:t>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Konceptualizacija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prostora</w:t>
      </w:r>
      <w:proofErr w:type="spellEnd"/>
    </w:p>
    <w:p w14:paraId="17D7A65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AVI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izrazito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interdisciplinarno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naravnan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osebni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vrhunske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ekipe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predavateljev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mednarodno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priznanih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umetnikov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teoretikov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podpira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kreativnost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individualnost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vsakega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posameznega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715ED4A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Program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jasno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odstopata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siceršnje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Sloveniji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pa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širšem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srednjeevropskem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zagotavljata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številne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2F3D0FDE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obseg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vodenega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: 1.200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54968546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visoki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standardi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šolanja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: 1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predavatelj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10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zagotovljen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osebni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vsakega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delavnice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tehniča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podpora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...,</w:t>
      </w:r>
    </w:p>
    <w:p w14:paraId="2D83AF2A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tesna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povezanost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prepletenost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praktičnega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teoretičnega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2FE3A4D7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interdisciplinarnost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in/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projekti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nastajajo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hkratno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uporabo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različnih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prvin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4B37A9FE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predavatelji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vzpodbujajo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kreativnost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razvoj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individualnih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načinov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izražanja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31813F9A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sistem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osebnih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skrbnikov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tutorjev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zagotavlja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individualen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vzpodbuja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vzajemno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ambicijo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 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razvoj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uspeh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4671D7FA" w14:textId="77777777" w:rsidR="003A2F58" w:rsidRPr="003A2F58" w:rsidRDefault="003A2F58" w:rsidP="003A2F58">
      <w:pPr>
        <w:shd w:val="clear" w:color="auto" w:fill="FFFFFF"/>
        <w:spacing w:line="360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celodnevno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vodeno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ateljejsko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osebni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delovni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atelje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primernih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infrastrukturo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odlični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lokaciji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8777447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39B49532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to AVA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zagotavlja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začetka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specializiranega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Konceptualizacija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katerega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lahko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neposredno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vpišejo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jasno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ciljno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usmeritvijo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kakovostnim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portfoliom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FCC6AF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40316538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Konceptualizacija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prostora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/ </w:t>
      </w: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CS</w:t>
      </w: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</w:t>
      </w: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(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Časovni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mediji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)</w:t>
      </w:r>
    </w:p>
    <w:p w14:paraId="4204F21B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15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razpisanih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mest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/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izredni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študij</w:t>
      </w:r>
      <w:proofErr w:type="spellEnd"/>
    </w:p>
    <w:p w14:paraId="52C8CAB4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Konceptualizacija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3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dodiplomski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temelji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praksah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združuje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prvine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arhitekture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videa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Skozi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spodbujamo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prevzemanju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popolnega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nadzora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nad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pa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drugimi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zaznavnimi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vidiki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produkcije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možnostjo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izpeljave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različne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realizacijske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oblike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in/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vsebine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7C152D82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združuje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uporabo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novih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teorij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tehnologij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prepletanje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uveljavljenimi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objektivna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prostorska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obravnava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poudarkom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času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trajanju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prenos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idej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(film video,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gledališče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izdelava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3D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modelov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maket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izdelava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»story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boardov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«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ipd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Namenjen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želijo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pridobiti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znanja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uporabi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dogodka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področjih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537FD76D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filmske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video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režije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6A784C88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lutkovne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režije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241CF8BE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TV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067F43C1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animacije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5B56F577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3213B278" w14:textId="77777777" w:rsidR="003A2F58" w:rsidRPr="003A2F58" w:rsidRDefault="003A2F58" w:rsidP="003A2F58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videa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</w:t>
      </w:r>
    </w:p>
    <w:p w14:paraId="38B27013" w14:textId="77777777" w:rsidR="003A2F58" w:rsidRPr="003A2F58" w:rsidRDefault="003A2F58" w:rsidP="003A2F58">
      <w:pPr>
        <w:shd w:val="clear" w:color="auto" w:fill="FFFFFF"/>
        <w:spacing w:after="360"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Symbol" w:eastAsia="Times New Roman" w:hAnsi="Symbol" w:cs="Times New Roman"/>
          <w:color w:val="222222"/>
          <w:sz w:val="20"/>
          <w:szCs w:val="20"/>
        </w:rPr>
        <w:t></w:t>
      </w:r>
      <w:r w:rsidRPr="003A2F5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0825182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obsega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1.200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koordiniranih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od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približno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70%  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praktičnega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27DC271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7D993733" w14:textId="77777777" w:rsidR="003A2F58" w:rsidRPr="003A2F58" w:rsidRDefault="003A2F58" w:rsidP="003A2F58">
      <w:pPr>
        <w:shd w:val="clear" w:color="auto" w:fill="FFFFFF"/>
        <w:spacing w:before="24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Potek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študija</w:t>
      </w:r>
      <w:proofErr w:type="spellEnd"/>
    </w:p>
    <w:p w14:paraId="79E78AAC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specializacije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skozi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projekno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individualni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ravni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seznanijo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prvinami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načini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snovanja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ustvarjanja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prostora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katerem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odvija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filmsko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snemanje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televizijsko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snemanje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(studio),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predstava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2BFDF19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naslednjih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dveh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drugi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tretji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voljo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podanim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izbranim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temam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okviru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programa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namreč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odločajo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projekte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izvedbo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čimer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določajo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smer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lastnega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razvoja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filmski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video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režiji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režiji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scenografiji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koncpiranju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televizijskih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oddaj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kostumografiji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2D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3D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animaciji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5DE8A3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Vpisni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pogoji</w:t>
      </w:r>
      <w:proofErr w:type="spellEnd"/>
    </w:p>
    <w:p w14:paraId="556A1CE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morajo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biti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stari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najmanj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18 let,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predstavijo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svojimi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dosedanjimi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deli (portfolio),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risbe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tridimenzionalna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;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nanašajo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film, video,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gledališče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animacijo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Na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podlagi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predstavljenih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del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vsakim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opravimo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pogovor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2E496F9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nimajo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zaključene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srednje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šole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izjemoma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lahko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sprejeti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podlagi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nadarjenosti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to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določa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pravilnik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vpisu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7680B75B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informacij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vpisnih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pogojih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hyperlink r:id="rId6" w:tgtFrame="_blank" w:history="1">
        <w:r w:rsidRPr="003A2F58">
          <w:rPr>
            <w:rFonts w:ascii="Verdana" w:eastAsia="Times New Roman" w:hAnsi="Verdana" w:cs="Times New Roman"/>
            <w:color w:val="0563C1"/>
            <w:sz w:val="20"/>
            <w:szCs w:val="20"/>
            <w:u w:val="single"/>
          </w:rPr>
          <w:t>www.ava.si</w:t>
        </w:r>
      </w:hyperlink>
    </w:p>
    <w:p w14:paraId="43070349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lastRenderedPageBreak/>
        <w:t xml:space="preserve">15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razpisanih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mest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/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izredni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študij</w:t>
      </w:r>
      <w:proofErr w:type="spellEnd"/>
    </w:p>
    <w:p w14:paraId="7F15F0A4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Likovna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umetnost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</w:t>
      </w: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FA</w:t>
      </w:r>
    </w:p>
    <w:p w14:paraId="07BDBDB7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Interdisciplinarni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3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dodiplomski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omogča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fleksibilen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prilagojen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hitrim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spremembam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kulturnega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družbenega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okolja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današnjega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postindustrijskega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časa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ne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pristaja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razslojevanje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znotraj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osnovnih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523CBF5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spodbujamo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raziskovanju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črpanju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najrazličnejših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vizualnih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disciplin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slikarstva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kiparstva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inštalacije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upodabljanja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videa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obsežni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sferi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izbirajo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in/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način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realizacijo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svojih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idej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kreativnih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ciljev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9542B81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Namen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skozi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praktično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raziskovanje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medijskih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form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razvijati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potenciale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vsakega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AVI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namenjen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želijo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delovati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širšem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področju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slikarstva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kiparstva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inštalacije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do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filma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videa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novih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medijev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D15C1D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združuje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uporabo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novih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teorij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tehnlogij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uveljavljenimi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obektivno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risanje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modeliranje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film in video,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inštalacija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performans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upodabljanje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(2D, 3D).</w:t>
      </w:r>
    </w:p>
    <w:p w14:paraId="56BB187F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obsega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1.200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koordiniranih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od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približno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70 %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praktičnega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2A7987A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Možen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tudi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ob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2916014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Potek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študija</w:t>
      </w:r>
      <w:proofErr w:type="spellEnd"/>
    </w:p>
    <w:p w14:paraId="2E1FBE5A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fazi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prvi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podrobno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seznanijo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načini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izražanja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skozi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risanje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modeliranje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upodabljanje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video in film.</w:t>
      </w:r>
    </w:p>
    <w:p w14:paraId="12D6496E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prihodnjih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dveh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drugi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tretji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letnik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)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voljo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podanim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ali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izbranim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temam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okviru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programa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namreč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odločajo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projekte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izvedbo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čimer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določajo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smer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lastnega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razvoja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eni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disciplin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; AVA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vzpodbuja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interdisciplinarnemu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: film in video,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inštalacija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kombinacija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2D in 3D.</w:t>
      </w:r>
    </w:p>
    <w:p w14:paraId="41CBC66B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lastRenderedPageBreak/>
        <w:t> </w:t>
      </w:r>
    </w:p>
    <w:p w14:paraId="4187DF52" w14:textId="77777777" w:rsidR="003A2F58" w:rsidRPr="003A2F58" w:rsidRDefault="003A2F58" w:rsidP="003A2F58">
      <w:pPr>
        <w:rPr>
          <w:rFonts w:ascii="Times New Roman" w:eastAsia="Times New Roman" w:hAnsi="Times New Roman" w:cs="Times New Roman"/>
        </w:rPr>
      </w:pPr>
      <w:r w:rsidRPr="003A2F58">
        <w:rPr>
          <w:rFonts w:ascii="Verdana" w:eastAsia="Times New Roman" w:hAnsi="Verdana" w:cs="Arial"/>
          <w:b/>
          <w:bCs/>
          <w:color w:val="222222"/>
          <w:sz w:val="20"/>
          <w:szCs w:val="20"/>
          <w:shd w:val="clear" w:color="auto" w:fill="FFFFFF"/>
        </w:rPr>
        <w:br w:type="textWrapping" w:clear="all"/>
      </w:r>
    </w:p>
    <w:p w14:paraId="148F2E93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</w:t>
      </w:r>
    </w:p>
    <w:p w14:paraId="53FA7273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Poudarki</w:t>
      </w:r>
      <w:proofErr w:type="spellEnd"/>
    </w:p>
    <w:p w14:paraId="4A0596B2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Študenti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sezanijo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podobnostmi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razlikami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med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posameznimi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praksami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Študij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osredotoča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razvijanje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široke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palete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pristopov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procesov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načinov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realizacije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del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ter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možnosti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prepletanja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in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kombiniranja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različnih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praks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kontekstu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likovnega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372FA3D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Vpisni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pogoji</w:t>
      </w:r>
      <w:proofErr w:type="spellEnd"/>
    </w:p>
    <w:p w14:paraId="7CF6CC40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morajo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biti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stari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najmanj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18 let,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predstavijo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svojimi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dosedanjimi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deli (portfolio),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risbe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slike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tridimenzionalna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fotografije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;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nanašajo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film, video,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gledališče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animacijo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računalniška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dela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. Na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podlagi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predstavljenih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del z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vsakim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kandidatom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opravimo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pogovor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306A824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Kandidati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nimajo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zaključene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srednje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šole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so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izjemoma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lahko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sprejeti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podlagi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njihove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umetniške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nadarjenosti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kot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to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določa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pravilnik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vpisu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16D2E57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Več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informacij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vpisnih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pogojih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hyperlink r:id="rId7" w:tgtFrame="_blank" w:history="1">
        <w:r w:rsidRPr="003A2F58">
          <w:rPr>
            <w:rFonts w:ascii="Verdana" w:eastAsia="Times New Roman" w:hAnsi="Verdana" w:cs="Times New Roman"/>
            <w:color w:val="0563C1"/>
            <w:sz w:val="20"/>
            <w:szCs w:val="20"/>
            <w:u w:val="single"/>
          </w:rPr>
          <w:t>www.ava.si</w:t>
        </w:r>
      </w:hyperlink>
    </w:p>
    <w:p w14:paraId="6497A176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15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razpisanih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mest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/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izredni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študij</w:t>
      </w:r>
      <w:proofErr w:type="spellEnd"/>
    </w:p>
    <w:p w14:paraId="281A0E40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0AA173B0" w14:textId="77777777" w:rsidR="003A2F58" w:rsidRPr="003A2F58" w:rsidRDefault="003A2F58" w:rsidP="003A2F58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AVA –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Akademija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za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vizualne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  <w:u w:val="single"/>
        </w:rPr>
        <w:t>umetnosti</w:t>
      </w:r>
      <w:proofErr w:type="spellEnd"/>
    </w:p>
    <w:p w14:paraId="6EDFD085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E-</w:t>
      </w:r>
      <w:proofErr w:type="spellStart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pošta</w:t>
      </w:r>
      <w:proofErr w:type="spellEnd"/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: </w:t>
      </w:r>
      <w:hyperlink r:id="rId8" w:tgtFrame="_blank" w:history="1">
        <w:r w:rsidRPr="003A2F58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info@ava.si</w:t>
        </w:r>
      </w:hyperlink>
    </w:p>
    <w:p w14:paraId="1B4F7741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GSM: 070/701-606</w:t>
      </w:r>
    </w:p>
    <w:p w14:paraId="529EB2AF" w14:textId="77777777" w:rsidR="003A2F58" w:rsidRPr="003A2F58" w:rsidRDefault="003A2F58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3A2F5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Tel: 01/42-55-006</w:t>
      </w:r>
    </w:p>
    <w:p w14:paraId="2D39B4A6" w14:textId="77777777" w:rsidR="003A2F58" w:rsidRPr="003A2F58" w:rsidRDefault="0022232E" w:rsidP="003A2F5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22222"/>
        </w:rPr>
      </w:pPr>
      <w:hyperlink r:id="rId9" w:tgtFrame="_blank" w:history="1">
        <w:r w:rsidR="003A2F58" w:rsidRPr="003A2F58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</w:rPr>
          <w:t>Www.ava.si</w:t>
        </w:r>
      </w:hyperlink>
    </w:p>
    <w:p w14:paraId="19D40C50" w14:textId="77777777" w:rsidR="005306EB" w:rsidRDefault="0022232E"/>
    <w:sectPr w:rsidR="005306EB" w:rsidSect="00B27C4D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4D1F" w14:textId="77777777" w:rsidR="0022232E" w:rsidRDefault="0022232E" w:rsidP="00191B61">
      <w:r>
        <w:separator/>
      </w:r>
    </w:p>
  </w:endnote>
  <w:endnote w:type="continuationSeparator" w:id="0">
    <w:p w14:paraId="063AA990" w14:textId="77777777" w:rsidR="0022232E" w:rsidRDefault="0022232E" w:rsidP="0019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8F7B" w14:textId="77777777" w:rsidR="0022232E" w:rsidRDefault="0022232E" w:rsidP="00191B61">
      <w:r>
        <w:separator/>
      </w:r>
    </w:p>
  </w:footnote>
  <w:footnote w:type="continuationSeparator" w:id="0">
    <w:p w14:paraId="2561704F" w14:textId="77777777" w:rsidR="0022232E" w:rsidRDefault="0022232E" w:rsidP="0019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599B" w14:textId="4DA3256B" w:rsidR="00191B61" w:rsidRDefault="00191B61">
    <w:pPr>
      <w:pStyle w:val="Header"/>
    </w:pPr>
    <w:r>
      <w:rPr>
        <w:noProof/>
      </w:rPr>
      <w:drawing>
        <wp:inline distT="0" distB="0" distL="0" distR="0" wp14:anchorId="06DF4CE5" wp14:editId="4CD18BB4">
          <wp:extent cx="57277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AV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8"/>
    <w:rsid w:val="00191B61"/>
    <w:rsid w:val="0022232E"/>
    <w:rsid w:val="003A2F58"/>
    <w:rsid w:val="00B27C4D"/>
    <w:rsid w:val="00D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C616F2"/>
  <w15:chartTrackingRefBased/>
  <w15:docId w15:val="{A6E1CB2B-588B-074C-A62C-F779687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A2F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B61"/>
  </w:style>
  <w:style w:type="paragraph" w:styleId="Footer">
    <w:name w:val="footer"/>
    <w:basedOn w:val="Normal"/>
    <w:link w:val="FooterChar"/>
    <w:uiPriority w:val="99"/>
    <w:unhideWhenUsed/>
    <w:rsid w:val="00191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a.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a.s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v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2020-02-21T10:34:00Z</dcterms:created>
  <dcterms:modified xsi:type="dcterms:W3CDTF">2022-02-10T12:26:00Z</dcterms:modified>
</cp:coreProperties>
</file>